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5F" w:rsidRPr="00EF5814" w:rsidRDefault="0042795F" w:rsidP="0042795F">
      <w:pPr>
        <w:spacing w:after="60" w:line="240" w:lineRule="auto"/>
        <w:rPr>
          <w:rFonts w:ascii="Times New Roman" w:eastAsia="Times New Roman" w:hAnsi="Times New Roman" w:cs="Times New Roman"/>
          <w:sz w:val="40"/>
          <w:szCs w:val="40"/>
        </w:rPr>
      </w:pPr>
      <w:r w:rsidRPr="00EF5814">
        <w:rPr>
          <w:rFonts w:ascii="Arial" w:eastAsia="Times New Roman" w:hAnsi="Arial" w:cs="Arial"/>
          <w:color w:val="000000"/>
          <w:sz w:val="40"/>
          <w:szCs w:val="40"/>
        </w:rPr>
        <w:t>DEN783</w:t>
      </w:r>
      <w:r w:rsidR="00EF5814" w:rsidRPr="00EF5814">
        <w:rPr>
          <w:rFonts w:ascii="Arial" w:eastAsia="Times New Roman" w:hAnsi="Arial" w:cs="Arial"/>
          <w:color w:val="000000"/>
          <w:sz w:val="40"/>
          <w:szCs w:val="40"/>
        </w:rPr>
        <w:t>5</w:t>
      </w:r>
      <w:r w:rsidRPr="00EF5814">
        <w:rPr>
          <w:rFonts w:ascii="Arial" w:eastAsia="Times New Roman" w:hAnsi="Arial" w:cs="Arial"/>
          <w:color w:val="000000"/>
          <w:sz w:val="40"/>
          <w:szCs w:val="40"/>
        </w:rPr>
        <w:t>L</w:t>
      </w:r>
      <w:r w:rsidR="00EF5814" w:rsidRPr="00EF5814">
        <w:rPr>
          <w:rFonts w:ascii="Arial" w:eastAsia="Times New Roman" w:hAnsi="Arial" w:cs="Arial"/>
          <w:color w:val="000000"/>
          <w:sz w:val="40"/>
          <w:szCs w:val="40"/>
        </w:rPr>
        <w:t xml:space="preserve">: </w:t>
      </w:r>
      <w:r w:rsidR="00EF5814" w:rsidRPr="00EF5814">
        <w:rPr>
          <w:rFonts w:ascii="Arial" w:eastAsia="Times New Roman" w:hAnsi="Arial" w:cs="Arial"/>
          <w:color w:val="000000"/>
          <w:sz w:val="36"/>
          <w:szCs w:val="36"/>
        </w:rPr>
        <w:t>Comprehensive Periodontal Treatment 2</w:t>
      </w:r>
    </w:p>
    <w:p w:rsidR="0042795F" w:rsidRPr="0042795F" w:rsidRDefault="00EF5814" w:rsidP="0042795F">
      <w:pPr>
        <w:spacing w:after="320" w:line="240" w:lineRule="auto"/>
        <w:rPr>
          <w:rFonts w:ascii="Times New Roman" w:eastAsia="Times New Roman" w:hAnsi="Times New Roman" w:cs="Times New Roman"/>
          <w:sz w:val="24"/>
          <w:szCs w:val="24"/>
        </w:rPr>
      </w:pPr>
      <w:r>
        <w:rPr>
          <w:rFonts w:ascii="Arial" w:eastAsia="Times New Roman" w:hAnsi="Arial" w:cs="Arial"/>
          <w:color w:val="666666"/>
          <w:sz w:val="30"/>
          <w:szCs w:val="30"/>
        </w:rPr>
        <w:t>Fall</w:t>
      </w:r>
      <w:r w:rsidR="0042795F" w:rsidRPr="0042795F">
        <w:rPr>
          <w:rFonts w:ascii="Arial" w:eastAsia="Times New Roman" w:hAnsi="Arial" w:cs="Arial"/>
          <w:color w:val="666666"/>
          <w:sz w:val="30"/>
          <w:szCs w:val="30"/>
        </w:rPr>
        <w:t xml:space="preserve"> 2021</w:t>
      </w:r>
    </w:p>
    <w:p w:rsidR="0042795F" w:rsidRPr="0042795F" w:rsidRDefault="0042795F" w:rsidP="0042795F">
      <w:pPr>
        <w:spacing w:before="400" w:after="120" w:line="240" w:lineRule="auto"/>
        <w:outlineLvl w:val="0"/>
        <w:rPr>
          <w:rFonts w:ascii="Times New Roman" w:eastAsia="Times New Roman" w:hAnsi="Times New Roman" w:cs="Times New Roman"/>
          <w:b/>
          <w:bCs/>
          <w:kern w:val="36"/>
          <w:sz w:val="48"/>
          <w:szCs w:val="48"/>
        </w:rPr>
      </w:pPr>
      <w:r w:rsidRPr="0042795F">
        <w:rPr>
          <w:rFonts w:ascii="Arial" w:eastAsia="Times New Roman" w:hAnsi="Arial" w:cs="Arial"/>
          <w:color w:val="000000"/>
          <w:kern w:val="36"/>
          <w:sz w:val="40"/>
          <w:szCs w:val="40"/>
        </w:rPr>
        <w:t>Course Description:</w:t>
      </w:r>
    </w:p>
    <w:p w:rsidR="0042795F" w:rsidRPr="0042795F" w:rsidRDefault="0042795F" w:rsidP="0042795F">
      <w:pPr>
        <w:spacing w:after="0" w:line="240" w:lineRule="auto"/>
        <w:rPr>
          <w:rFonts w:ascii="Times New Roman" w:eastAsia="Times New Roman" w:hAnsi="Times New Roman" w:cs="Times New Roman"/>
          <w:sz w:val="24"/>
          <w:szCs w:val="24"/>
        </w:rPr>
      </w:pPr>
      <w:r w:rsidRPr="0042795F">
        <w:rPr>
          <w:rFonts w:ascii="Arial" w:eastAsia="Times New Roman" w:hAnsi="Arial" w:cs="Arial"/>
          <w:color w:val="000000"/>
        </w:rPr>
        <w:t>This course applies the foundation</w:t>
      </w:r>
      <w:r w:rsidR="00BD3ABB">
        <w:rPr>
          <w:rFonts w:ascii="Arial" w:eastAsia="Times New Roman" w:hAnsi="Arial" w:cs="Arial"/>
          <w:color w:val="000000"/>
        </w:rPr>
        <w:t>al</w:t>
      </w:r>
      <w:r w:rsidRPr="0042795F">
        <w:rPr>
          <w:rFonts w:ascii="Arial" w:eastAsia="Times New Roman" w:hAnsi="Arial" w:cs="Arial"/>
          <w:color w:val="000000"/>
        </w:rPr>
        <w:t xml:space="preserve"> knowledge learned in the </w:t>
      </w:r>
      <w:r w:rsidR="00DD7A82" w:rsidRPr="0042795F">
        <w:rPr>
          <w:rFonts w:ascii="Arial" w:eastAsia="Times New Roman" w:hAnsi="Arial" w:cs="Arial"/>
          <w:color w:val="000000"/>
        </w:rPr>
        <w:t>periodontic</w:t>
      </w:r>
      <w:r w:rsidR="0093428D">
        <w:rPr>
          <w:rFonts w:ascii="Arial" w:eastAsia="Times New Roman" w:hAnsi="Arial" w:cs="Arial"/>
          <w:color w:val="000000"/>
        </w:rPr>
        <w:t>s</w:t>
      </w:r>
      <w:r w:rsidRPr="0042795F">
        <w:rPr>
          <w:rFonts w:ascii="Arial" w:eastAsia="Times New Roman" w:hAnsi="Arial" w:cs="Arial"/>
          <w:color w:val="000000"/>
        </w:rPr>
        <w:t xml:space="preserve"> preclinical curriculum by introducing the beginning student to diagnosis and treatment of gingival and periodontal diseases and the evaluation of initial therapy and continuing supportive periodontal therapy on assigned patients.</w:t>
      </w:r>
      <w:r w:rsidR="00EF5814">
        <w:rPr>
          <w:rFonts w:ascii="Arial" w:eastAsia="Times New Roman" w:hAnsi="Arial" w:cs="Arial"/>
          <w:color w:val="000000"/>
        </w:rPr>
        <w:t xml:space="preserve"> </w:t>
      </w:r>
      <w:r w:rsidR="00EF5814" w:rsidRPr="00EF5814">
        <w:rPr>
          <w:rFonts w:ascii="Arial" w:eastAsia="Times New Roman" w:hAnsi="Arial" w:cs="Arial"/>
          <w:color w:val="000000"/>
        </w:rPr>
        <w:t>DEN 7834</w:t>
      </w:r>
      <w:r w:rsidR="00EF5814">
        <w:rPr>
          <w:rFonts w:ascii="Arial" w:eastAsia="Times New Roman" w:hAnsi="Arial" w:cs="Arial"/>
          <w:color w:val="000000"/>
        </w:rPr>
        <w:t>L</w:t>
      </w:r>
      <w:r w:rsidR="00EF5814" w:rsidRPr="00EF5814">
        <w:rPr>
          <w:rFonts w:ascii="Arial" w:eastAsia="Times New Roman" w:hAnsi="Arial" w:cs="Arial"/>
          <w:color w:val="000000"/>
        </w:rPr>
        <w:t xml:space="preserve"> is a prerequisite course.</w:t>
      </w:r>
    </w:p>
    <w:p w:rsidR="0042795F" w:rsidRPr="0042795F" w:rsidRDefault="0042795F" w:rsidP="0042795F">
      <w:pPr>
        <w:spacing w:before="400" w:after="120" w:line="240" w:lineRule="auto"/>
        <w:outlineLvl w:val="0"/>
        <w:rPr>
          <w:rFonts w:ascii="Times New Roman" w:eastAsia="Times New Roman" w:hAnsi="Times New Roman" w:cs="Times New Roman"/>
          <w:b/>
          <w:bCs/>
          <w:kern w:val="36"/>
          <w:sz w:val="48"/>
          <w:szCs w:val="48"/>
        </w:rPr>
      </w:pPr>
      <w:r w:rsidRPr="0042795F">
        <w:rPr>
          <w:rFonts w:ascii="Arial" w:eastAsia="Times New Roman" w:hAnsi="Arial" w:cs="Arial"/>
          <w:color w:val="000000"/>
          <w:kern w:val="36"/>
          <w:sz w:val="40"/>
          <w:szCs w:val="40"/>
        </w:rPr>
        <w:t>I. General Information</w:t>
      </w:r>
    </w:p>
    <w:p w:rsidR="007A7C44" w:rsidRPr="00041F91" w:rsidRDefault="007A7C44" w:rsidP="007A7C44">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Course Director: </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Director: </w:t>
      </w:r>
      <w:r>
        <w:rPr>
          <w:rFonts w:ascii="Arial" w:eastAsia="Times New Roman" w:hAnsi="Arial" w:cs="Arial"/>
          <w:color w:val="000000"/>
        </w:rPr>
        <w:tab/>
      </w:r>
      <w:r w:rsidRPr="00041F91">
        <w:rPr>
          <w:rFonts w:ascii="Arial" w:eastAsia="Times New Roman" w:hAnsi="Arial" w:cs="Arial"/>
          <w:color w:val="000000"/>
        </w:rPr>
        <w:t>Tsuyoshi Tanaka</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Email: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TTanaka@dental.ufl.edu</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Phone:</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294-5109</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Credits: </w:t>
      </w:r>
      <w:r>
        <w:rPr>
          <w:rFonts w:ascii="Arial" w:eastAsia="Times New Roman" w:hAnsi="Arial" w:cs="Arial"/>
          <w:color w:val="000000"/>
        </w:rPr>
        <w:tab/>
      </w:r>
      <w:r w:rsidRPr="00041F91">
        <w:rPr>
          <w:rFonts w:ascii="Arial" w:eastAsia="Times New Roman" w:hAnsi="Arial" w:cs="Arial"/>
          <w:color w:val="000000"/>
        </w:rPr>
        <w:t>3</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Semester:</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Summer</w:t>
      </w:r>
    </w:p>
    <w:p w:rsidR="007A7C44" w:rsidRPr="00041F91" w:rsidRDefault="007A7C44" w:rsidP="007A7C44">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Contributing Faculty</w:t>
      </w:r>
    </w:p>
    <w:p w:rsidR="007A7C44" w:rsidRPr="00041F91" w:rsidRDefault="007A7C44" w:rsidP="007A7C44">
      <w:pPr>
        <w:spacing w:after="0" w:line="240" w:lineRule="auto"/>
        <w:rPr>
          <w:rFonts w:ascii="Times New Roman" w:eastAsia="Times New Roman" w:hAnsi="Times New Roman" w:cs="Times New Roman"/>
          <w:sz w:val="24"/>
          <w:szCs w:val="24"/>
        </w:rPr>
      </w:pPr>
      <w:proofErr w:type="spellStart"/>
      <w:r w:rsidRPr="00041F91">
        <w:rPr>
          <w:rFonts w:ascii="Arial" w:eastAsia="Times New Roman" w:hAnsi="Arial" w:cs="Arial"/>
          <w:color w:val="000000"/>
        </w:rPr>
        <w:t>Ikramuddin</w:t>
      </w:r>
      <w:proofErr w:type="spellEnd"/>
      <w:r w:rsidRPr="00041F91">
        <w:rPr>
          <w:rFonts w:ascii="Arial" w:eastAsia="Times New Roman" w:hAnsi="Arial" w:cs="Arial"/>
          <w:color w:val="000000"/>
        </w:rPr>
        <w:t xml:space="preserve"> </w:t>
      </w:r>
      <w:proofErr w:type="spellStart"/>
      <w:r w:rsidRPr="00041F91">
        <w:rPr>
          <w:rFonts w:ascii="Arial" w:eastAsia="Times New Roman" w:hAnsi="Arial" w:cs="Arial"/>
          <w:color w:val="000000"/>
        </w:rPr>
        <w:t>Aukhil</w:t>
      </w:r>
      <w:proofErr w:type="spellEnd"/>
      <w:r>
        <w:rPr>
          <w:rFonts w:ascii="Arial" w:eastAsia="Times New Roman" w:hAnsi="Arial" w:cs="Arial"/>
          <w:color w:val="000000"/>
        </w:rPr>
        <w:tab/>
      </w:r>
      <w:r w:rsidRPr="00041F91">
        <w:rPr>
          <w:rFonts w:ascii="Arial" w:eastAsia="Times New Roman" w:hAnsi="Arial" w:cs="Arial"/>
          <w:color w:val="000000"/>
        </w:rPr>
        <w:t>(352) 273-7488      IA</w:t>
      </w:r>
      <w:r>
        <w:rPr>
          <w:rFonts w:ascii="Arial" w:eastAsia="Times New Roman" w:hAnsi="Arial" w:cs="Arial"/>
          <w:color w:val="000000"/>
        </w:rPr>
        <w:t>ukhil</w:t>
      </w:r>
      <w:r w:rsidRPr="00041F91">
        <w:rPr>
          <w:rFonts w:ascii="Arial" w:eastAsia="Times New Roman" w:hAnsi="Arial" w:cs="Arial"/>
          <w:color w:val="000000"/>
        </w:rPr>
        <w:t>@dental.ufl.edu  </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Jia Chang</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273-8366      JChang@dental.ufl.edu  </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Gail Childs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273-5952      GC</w:t>
      </w:r>
      <w:r>
        <w:rPr>
          <w:rFonts w:ascii="Arial" w:eastAsia="Times New Roman" w:hAnsi="Arial" w:cs="Arial"/>
          <w:color w:val="000000"/>
        </w:rPr>
        <w:t>hilds</w:t>
      </w:r>
      <w:r w:rsidRPr="00041F91">
        <w:rPr>
          <w:rFonts w:ascii="Arial" w:eastAsia="Times New Roman" w:hAnsi="Arial" w:cs="Arial"/>
          <w:color w:val="000000"/>
        </w:rPr>
        <w:t>@dental.ufl.edu  </w:t>
      </w:r>
    </w:p>
    <w:p w:rsidR="007A7C44" w:rsidRPr="00041F91" w:rsidRDefault="007A7C44" w:rsidP="007A7C44">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Wagner Duarte</w:t>
      </w:r>
      <w:r>
        <w:rPr>
          <w:rFonts w:ascii="Arial" w:eastAsia="Times New Roman" w:hAnsi="Arial" w:cs="Arial"/>
          <w:color w:val="000000"/>
        </w:rPr>
        <w:tab/>
      </w:r>
      <w:r w:rsidRPr="00041F91">
        <w:rPr>
          <w:rFonts w:ascii="Arial" w:eastAsia="Times New Roman" w:hAnsi="Arial" w:cs="Arial"/>
          <w:color w:val="000000"/>
        </w:rPr>
        <w:t>(352) 727-1440      WRodriguesDuarte@dental.ufl.edu  </w:t>
      </w:r>
      <w:bookmarkStart w:id="0" w:name="_GoBack"/>
      <w:bookmarkEnd w:id="0"/>
    </w:p>
    <w:p w:rsidR="00DB371A" w:rsidRPr="00041F91"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Poliana M</w:t>
      </w:r>
      <w:r>
        <w:rPr>
          <w:rFonts w:ascii="Arial" w:eastAsia="Times New Roman" w:hAnsi="Arial" w:cs="Arial"/>
          <w:color w:val="000000"/>
        </w:rPr>
        <w:t>.</w:t>
      </w:r>
      <w:r w:rsidRPr="00041F91">
        <w:rPr>
          <w:rFonts w:ascii="Arial" w:eastAsia="Times New Roman" w:hAnsi="Arial" w:cs="Arial"/>
          <w:color w:val="000000"/>
        </w:rPr>
        <w:t xml:space="preserve"> Duarte</w:t>
      </w:r>
      <w:r>
        <w:rPr>
          <w:rFonts w:ascii="Arial" w:eastAsia="Times New Roman" w:hAnsi="Arial" w:cs="Arial"/>
          <w:color w:val="000000"/>
        </w:rPr>
        <w:tab/>
        <w:t xml:space="preserve">(352) 273-8368      </w:t>
      </w:r>
      <w:r w:rsidRPr="00041F91">
        <w:rPr>
          <w:rFonts w:ascii="Arial" w:eastAsia="Times New Roman" w:hAnsi="Arial" w:cs="Arial"/>
          <w:color w:val="000000"/>
        </w:rPr>
        <w:t>PMendesDuarteReis@dental.ufl.edu  </w:t>
      </w:r>
    </w:p>
    <w:p w:rsidR="00DB371A" w:rsidRPr="00041F91"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Luz D</w:t>
      </w:r>
      <w:r>
        <w:rPr>
          <w:rFonts w:ascii="Arial" w:eastAsia="Times New Roman" w:hAnsi="Arial" w:cs="Arial"/>
          <w:color w:val="000000"/>
        </w:rPr>
        <w:t>.</w:t>
      </w:r>
      <w:r w:rsidRPr="00041F91">
        <w:rPr>
          <w:rFonts w:ascii="Arial" w:eastAsia="Times New Roman" w:hAnsi="Arial" w:cs="Arial"/>
          <w:color w:val="000000"/>
        </w:rPr>
        <w:t xml:space="preserve"> Oreste</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273-8363      LO</w:t>
      </w:r>
      <w:r>
        <w:rPr>
          <w:rFonts w:ascii="Arial" w:eastAsia="Times New Roman" w:hAnsi="Arial" w:cs="Arial"/>
          <w:color w:val="000000"/>
        </w:rPr>
        <w:t>reste</w:t>
      </w:r>
      <w:r w:rsidRPr="00041F91">
        <w:rPr>
          <w:rFonts w:ascii="Arial" w:eastAsia="Times New Roman" w:hAnsi="Arial" w:cs="Arial"/>
          <w:color w:val="000000"/>
        </w:rPr>
        <w:t>@dental.ufl.edu  </w:t>
      </w:r>
    </w:p>
    <w:p w:rsidR="00DB371A" w:rsidRPr="00041F91"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Karin C</w:t>
      </w:r>
      <w:r>
        <w:rPr>
          <w:rFonts w:ascii="Arial" w:eastAsia="Times New Roman" w:hAnsi="Arial" w:cs="Arial"/>
          <w:color w:val="000000"/>
        </w:rPr>
        <w:t>.</w:t>
      </w:r>
      <w:r w:rsidRPr="00041F91">
        <w:rPr>
          <w:rFonts w:ascii="Arial" w:eastAsia="Times New Roman" w:hAnsi="Arial" w:cs="Arial"/>
          <w:color w:val="000000"/>
        </w:rPr>
        <w:t xml:space="preserve"> Schey</w:t>
      </w:r>
      <w:r>
        <w:rPr>
          <w:rFonts w:ascii="Arial" w:eastAsia="Times New Roman" w:hAnsi="Arial" w:cs="Arial"/>
          <w:color w:val="000000"/>
        </w:rPr>
        <w:tab/>
      </w:r>
      <w:r w:rsidRPr="00041F91">
        <w:rPr>
          <w:rFonts w:ascii="Arial" w:eastAsia="Times New Roman" w:hAnsi="Arial" w:cs="Arial"/>
          <w:color w:val="000000"/>
        </w:rPr>
        <w:t>(352) 273-7960      KSchey@dental.ufl.edu  </w:t>
      </w:r>
    </w:p>
    <w:p w:rsidR="00DB371A" w:rsidRPr="00041F91"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Alline Teles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273-8365      Ateles@dental.ufl.edu   </w:t>
      </w:r>
    </w:p>
    <w:p w:rsidR="00DB371A" w:rsidRDefault="00DB371A" w:rsidP="00DB371A">
      <w:pPr>
        <w:spacing w:after="0" w:line="240" w:lineRule="auto"/>
        <w:rPr>
          <w:rFonts w:ascii="Arial" w:eastAsia="Times New Roman" w:hAnsi="Arial" w:cs="Arial"/>
          <w:color w:val="000000"/>
        </w:rPr>
      </w:pPr>
      <w:r w:rsidRPr="00041F91">
        <w:rPr>
          <w:rFonts w:ascii="Arial" w:eastAsia="Times New Roman" w:hAnsi="Arial" w:cs="Arial"/>
          <w:color w:val="000000"/>
        </w:rPr>
        <w:t>Cecil White                            </w:t>
      </w:r>
      <w:r>
        <w:rPr>
          <w:rFonts w:ascii="Arial" w:eastAsia="Times New Roman" w:hAnsi="Arial" w:cs="Arial"/>
          <w:color w:val="000000"/>
        </w:rPr>
        <w:t xml:space="preserve">                  </w:t>
      </w:r>
      <w:r w:rsidRPr="00041F91">
        <w:rPr>
          <w:rFonts w:ascii="Arial" w:eastAsia="Times New Roman" w:hAnsi="Arial" w:cs="Arial"/>
          <w:color w:val="000000"/>
        </w:rPr>
        <w:t> </w:t>
      </w:r>
      <w:r>
        <w:rPr>
          <w:rFonts w:ascii="Arial" w:eastAsia="Times New Roman" w:hAnsi="Arial" w:cs="Arial"/>
          <w:color w:val="000000"/>
        </w:rPr>
        <w:t xml:space="preserve"> </w:t>
      </w:r>
      <w:r w:rsidRPr="00041F91">
        <w:rPr>
          <w:rFonts w:ascii="Arial" w:eastAsia="Times New Roman" w:hAnsi="Arial" w:cs="Arial"/>
          <w:color w:val="000000"/>
        </w:rPr>
        <w:t>CW</w:t>
      </w:r>
      <w:r>
        <w:rPr>
          <w:rFonts w:ascii="Arial" w:eastAsia="Times New Roman" w:hAnsi="Arial" w:cs="Arial"/>
          <w:color w:val="000000"/>
        </w:rPr>
        <w:t>hite</w:t>
      </w:r>
      <w:r w:rsidRPr="00041F91">
        <w:rPr>
          <w:rFonts w:ascii="Arial" w:eastAsia="Times New Roman" w:hAnsi="Arial" w:cs="Arial"/>
          <w:color w:val="000000"/>
        </w:rPr>
        <w:t>@dental.ufl.edu</w:t>
      </w:r>
    </w:p>
    <w:p w:rsidR="00DB371A" w:rsidRPr="00041F91" w:rsidRDefault="00DB371A" w:rsidP="00DB371A">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Support Staff</w:t>
      </w:r>
    </w:p>
    <w:p w:rsidR="00DB371A" w:rsidRPr="00041F91"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Alline Teles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 xml:space="preserve">(352) 273-8365      Ateles@dental.ufl.edu      </w:t>
      </w:r>
      <w:r>
        <w:rPr>
          <w:rFonts w:ascii="Arial" w:eastAsia="Times New Roman" w:hAnsi="Arial" w:cs="Arial"/>
          <w:color w:val="000000"/>
        </w:rPr>
        <w:t xml:space="preserve">    </w:t>
      </w:r>
      <w:r w:rsidRPr="00041F91">
        <w:rPr>
          <w:rFonts w:ascii="Arial" w:eastAsia="Times New Roman" w:hAnsi="Arial" w:cs="Arial"/>
          <w:color w:val="000000"/>
        </w:rPr>
        <w:t>TA / Grade Administrator  </w:t>
      </w:r>
    </w:p>
    <w:p w:rsidR="00DB371A" w:rsidRPr="0042795F" w:rsidRDefault="00DB371A" w:rsidP="00DB371A">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Terry D</w:t>
      </w:r>
      <w:r>
        <w:rPr>
          <w:rFonts w:ascii="Arial" w:eastAsia="Times New Roman" w:hAnsi="Arial" w:cs="Arial"/>
          <w:color w:val="000000"/>
        </w:rPr>
        <w:t>.</w:t>
      </w:r>
      <w:r w:rsidRPr="00041F91">
        <w:rPr>
          <w:rFonts w:ascii="Arial" w:eastAsia="Times New Roman" w:hAnsi="Arial" w:cs="Arial"/>
          <w:color w:val="000000"/>
        </w:rPr>
        <w:t xml:space="preserve"> Thomas   </w:t>
      </w:r>
      <w:r>
        <w:rPr>
          <w:rFonts w:ascii="Arial" w:eastAsia="Times New Roman" w:hAnsi="Arial" w:cs="Arial"/>
          <w:color w:val="000000"/>
        </w:rPr>
        <w:t xml:space="preserve"> </w:t>
      </w:r>
      <w:r w:rsidRPr="00041F91">
        <w:rPr>
          <w:rFonts w:ascii="Arial" w:eastAsia="Times New Roman" w:hAnsi="Arial" w:cs="Arial"/>
          <w:color w:val="000000"/>
        </w:rPr>
        <w:t xml:space="preserve"> </w:t>
      </w:r>
      <w:proofErr w:type="gramStart"/>
      <w:r w:rsidRPr="00041F91">
        <w:rPr>
          <w:rFonts w:ascii="Arial" w:eastAsia="Times New Roman" w:hAnsi="Arial" w:cs="Arial"/>
          <w:color w:val="000000"/>
        </w:rPr>
        <w:t>   </w:t>
      </w:r>
      <w:r>
        <w:rPr>
          <w:rFonts w:ascii="Arial" w:eastAsia="Times New Roman" w:hAnsi="Arial" w:cs="Arial"/>
          <w:color w:val="000000"/>
        </w:rPr>
        <w:t>(</w:t>
      </w:r>
      <w:proofErr w:type="gramEnd"/>
      <w:r>
        <w:rPr>
          <w:rFonts w:ascii="Arial" w:eastAsia="Times New Roman" w:hAnsi="Arial" w:cs="Arial"/>
          <w:color w:val="000000"/>
        </w:rPr>
        <w:t xml:space="preserve">352) 273-8363      </w:t>
      </w:r>
      <w:r w:rsidRPr="00041F91">
        <w:rPr>
          <w:rFonts w:ascii="Arial" w:eastAsia="Times New Roman" w:hAnsi="Arial" w:cs="Arial"/>
          <w:color w:val="000000"/>
        </w:rPr>
        <w:t xml:space="preserve">TThomas@dental.ufl.edu    </w:t>
      </w:r>
      <w:r>
        <w:rPr>
          <w:rFonts w:ascii="Arial" w:eastAsia="Times New Roman" w:hAnsi="Arial" w:cs="Arial"/>
          <w:color w:val="000000"/>
        </w:rPr>
        <w:t xml:space="preserve"> </w:t>
      </w:r>
      <w:r w:rsidRPr="00041F91">
        <w:rPr>
          <w:rFonts w:ascii="Arial" w:eastAsia="Times New Roman" w:hAnsi="Arial" w:cs="Arial"/>
          <w:color w:val="000000"/>
        </w:rPr>
        <w:t>Grade Administrator  </w:t>
      </w:r>
      <w:r w:rsidRPr="0042795F">
        <w:rPr>
          <w:rFonts w:ascii="Arial" w:eastAsia="Times New Roman" w:hAnsi="Arial" w:cs="Arial"/>
          <w:color w:val="000000"/>
        </w:rPr>
        <w:t>  </w:t>
      </w:r>
    </w:p>
    <w:p w:rsidR="0042795F" w:rsidRPr="0042795F" w:rsidRDefault="0042795F" w:rsidP="007A7C44">
      <w:pPr>
        <w:spacing w:after="0" w:line="240" w:lineRule="auto"/>
        <w:rPr>
          <w:rFonts w:ascii="Times New Roman" w:eastAsia="Times New Roman" w:hAnsi="Times New Roman" w:cs="Times New Roman"/>
          <w:sz w:val="24"/>
          <w:szCs w:val="24"/>
        </w:rPr>
      </w:pPr>
    </w:p>
    <w:p w:rsidR="0042795F" w:rsidRPr="0042795F" w:rsidRDefault="0042795F" w:rsidP="0042795F">
      <w:pPr>
        <w:spacing w:before="400" w:after="120" w:line="240" w:lineRule="auto"/>
        <w:outlineLvl w:val="0"/>
        <w:rPr>
          <w:rFonts w:ascii="Times New Roman" w:eastAsia="Times New Roman" w:hAnsi="Times New Roman" w:cs="Times New Roman"/>
          <w:b/>
          <w:bCs/>
          <w:kern w:val="36"/>
          <w:sz w:val="48"/>
          <w:szCs w:val="48"/>
        </w:rPr>
      </w:pPr>
      <w:r w:rsidRPr="0042795F">
        <w:rPr>
          <w:rFonts w:ascii="Arial" w:eastAsia="Times New Roman" w:hAnsi="Arial" w:cs="Arial"/>
          <w:color w:val="000000"/>
          <w:kern w:val="36"/>
          <w:sz w:val="40"/>
          <w:szCs w:val="40"/>
        </w:rPr>
        <w:t>II. Course Goals</w:t>
      </w:r>
    </w:p>
    <w:p w:rsidR="0042795F" w:rsidRPr="0042795F" w:rsidRDefault="0042795F" w:rsidP="0042795F">
      <w:pPr>
        <w:spacing w:after="0" w:line="240" w:lineRule="auto"/>
        <w:rPr>
          <w:rFonts w:ascii="Times New Roman" w:eastAsia="Times New Roman" w:hAnsi="Times New Roman" w:cs="Times New Roman"/>
          <w:sz w:val="24"/>
          <w:szCs w:val="24"/>
        </w:rPr>
      </w:pPr>
      <w:r w:rsidRPr="0042795F">
        <w:rPr>
          <w:rFonts w:ascii="Arial" w:eastAsia="Times New Roman" w:hAnsi="Arial" w:cs="Arial"/>
          <w:color w:val="000000"/>
        </w:rPr>
        <w:t xml:space="preserve">The goal of the clinical periodontal experience </w:t>
      </w:r>
      <w:r w:rsidR="00887DF0">
        <w:rPr>
          <w:rFonts w:ascii="Arial" w:eastAsia="Times New Roman" w:hAnsi="Arial" w:cs="Arial"/>
          <w:color w:val="000000"/>
        </w:rPr>
        <w:t>is</w:t>
      </w:r>
      <w:r w:rsidRPr="0042795F">
        <w:rPr>
          <w:rFonts w:ascii="Arial" w:eastAsia="Times New Roman" w:hAnsi="Arial" w:cs="Arial"/>
          <w:color w:val="000000"/>
        </w:rPr>
        <w:t xml:space="preserve"> to provide the predoctoral dental student opportunities to</w:t>
      </w:r>
      <w:r w:rsidR="00BD3ABB">
        <w:rPr>
          <w:rFonts w:ascii="Arial" w:eastAsia="Times New Roman" w:hAnsi="Arial" w:cs="Arial"/>
          <w:color w:val="000000"/>
        </w:rPr>
        <w:t xml:space="preserve"> provide</w:t>
      </w:r>
      <w:r w:rsidRPr="0042795F">
        <w:rPr>
          <w:rFonts w:ascii="Arial" w:eastAsia="Times New Roman" w:hAnsi="Arial" w:cs="Arial"/>
          <w:color w:val="000000"/>
        </w:rPr>
        <w:t xml:space="preserve"> individualize</w:t>
      </w:r>
      <w:r w:rsidR="00BD3ABB">
        <w:rPr>
          <w:rFonts w:ascii="Arial" w:eastAsia="Times New Roman" w:hAnsi="Arial" w:cs="Arial"/>
          <w:color w:val="000000"/>
        </w:rPr>
        <w:t>d</w:t>
      </w:r>
      <w:r w:rsidRPr="0042795F">
        <w:rPr>
          <w:rFonts w:ascii="Arial" w:eastAsia="Times New Roman" w:hAnsi="Arial" w:cs="Arial"/>
          <w:color w:val="000000"/>
        </w:rPr>
        <w:t xml:space="preserve"> patient care through accurate </w:t>
      </w:r>
      <w:r w:rsidR="00DD7A82" w:rsidRPr="0042795F">
        <w:rPr>
          <w:rFonts w:ascii="Arial" w:eastAsia="Times New Roman" w:hAnsi="Arial" w:cs="Arial"/>
          <w:color w:val="000000"/>
        </w:rPr>
        <w:t>diagnosis, management</w:t>
      </w:r>
      <w:r w:rsidRPr="0042795F">
        <w:rPr>
          <w:rFonts w:ascii="Arial" w:eastAsia="Times New Roman" w:hAnsi="Arial" w:cs="Arial"/>
          <w:color w:val="000000"/>
        </w:rPr>
        <w:t xml:space="preserve"> of periodontal conditions and </w:t>
      </w:r>
      <w:r w:rsidR="00DD7A82" w:rsidRPr="0042795F">
        <w:rPr>
          <w:rFonts w:ascii="Arial" w:eastAsia="Times New Roman" w:hAnsi="Arial" w:cs="Arial"/>
          <w:color w:val="000000"/>
        </w:rPr>
        <w:t>maintenance</w:t>
      </w:r>
      <w:r w:rsidRPr="0042795F">
        <w:rPr>
          <w:rFonts w:ascii="Arial" w:eastAsia="Times New Roman" w:hAnsi="Arial" w:cs="Arial"/>
          <w:color w:val="000000"/>
        </w:rPr>
        <w:t xml:space="preserve"> of periodontal health of patients in a General Dentistry practice environment.</w:t>
      </w:r>
    </w:p>
    <w:p w:rsidR="0042795F" w:rsidRPr="0042795F" w:rsidRDefault="0042795F" w:rsidP="0042795F">
      <w:pPr>
        <w:spacing w:before="400" w:after="120" w:line="240" w:lineRule="auto"/>
        <w:outlineLvl w:val="0"/>
        <w:rPr>
          <w:rFonts w:ascii="Times New Roman" w:eastAsia="Times New Roman" w:hAnsi="Times New Roman" w:cs="Times New Roman"/>
          <w:b/>
          <w:bCs/>
          <w:kern w:val="36"/>
          <w:sz w:val="48"/>
          <w:szCs w:val="48"/>
        </w:rPr>
      </w:pPr>
      <w:r w:rsidRPr="0042795F">
        <w:rPr>
          <w:rFonts w:ascii="Arial" w:eastAsia="Times New Roman" w:hAnsi="Arial" w:cs="Arial"/>
          <w:color w:val="000000"/>
          <w:kern w:val="36"/>
          <w:sz w:val="40"/>
          <w:szCs w:val="40"/>
        </w:rPr>
        <w:lastRenderedPageBreak/>
        <w:t>III. Course Overview</w:t>
      </w:r>
    </w:p>
    <w:p w:rsidR="007F4472" w:rsidRPr="00655FF0" w:rsidRDefault="007F4472" w:rsidP="007F4472">
      <w:pPr>
        <w:pStyle w:val="Heading7"/>
      </w:pPr>
      <w:bookmarkStart w:id="1" w:name="_Hlk67660396"/>
      <w:r w:rsidRPr="00655FF0">
        <w:t>Clinical Competencies and Expectations for DMD Degree</w:t>
      </w:r>
      <w:r>
        <w:t xml:space="preserve"> - </w:t>
      </w:r>
      <w:r w:rsidRPr="00C8546C">
        <w:rPr>
          <w:b/>
        </w:rPr>
        <w:t>Periodontology</w:t>
      </w:r>
    </w:p>
    <w:tbl>
      <w:tblPr>
        <w:tblStyle w:val="TableGrid"/>
        <w:tblW w:w="0" w:type="auto"/>
        <w:tblLook w:val="04A0" w:firstRow="1" w:lastRow="0" w:firstColumn="1" w:lastColumn="0" w:noHBand="0" w:noVBand="1"/>
      </w:tblPr>
      <w:tblGrid>
        <w:gridCol w:w="1338"/>
        <w:gridCol w:w="1132"/>
        <w:gridCol w:w="1824"/>
        <w:gridCol w:w="1125"/>
        <w:gridCol w:w="32"/>
        <w:gridCol w:w="1350"/>
        <w:gridCol w:w="1263"/>
        <w:gridCol w:w="11"/>
        <w:gridCol w:w="1275"/>
      </w:tblGrid>
      <w:tr w:rsidR="00C653DF" w:rsidRPr="005857FA" w:rsidTr="007F4472">
        <w:trPr>
          <w:trHeight w:val="221"/>
        </w:trPr>
        <w:tc>
          <w:tcPr>
            <w:tcW w:w="1338" w:type="dxa"/>
            <w:shd w:val="clear" w:color="auto" w:fill="C5E0B3" w:themeFill="accent6" w:themeFillTint="66"/>
          </w:tcPr>
          <w:p w:rsidR="00C653DF" w:rsidRPr="005857FA" w:rsidRDefault="00C653DF" w:rsidP="009E33CC">
            <w:pPr>
              <w:pStyle w:val="NoSpacing"/>
              <w:rPr>
                <w:b/>
                <w:sz w:val="18"/>
                <w:szCs w:val="18"/>
              </w:rPr>
            </w:pPr>
            <w:r w:rsidRPr="005857FA">
              <w:rPr>
                <w:b/>
                <w:sz w:val="18"/>
                <w:szCs w:val="18"/>
              </w:rPr>
              <w:t>Semester</w:t>
            </w:r>
          </w:p>
        </w:tc>
        <w:tc>
          <w:tcPr>
            <w:tcW w:w="1132" w:type="dxa"/>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Sum/6</w:t>
            </w:r>
          </w:p>
        </w:tc>
        <w:tc>
          <w:tcPr>
            <w:tcW w:w="1824" w:type="dxa"/>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Fall/7</w:t>
            </w:r>
          </w:p>
        </w:tc>
        <w:tc>
          <w:tcPr>
            <w:tcW w:w="1125" w:type="dxa"/>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Spr/8</w:t>
            </w:r>
          </w:p>
        </w:tc>
        <w:tc>
          <w:tcPr>
            <w:tcW w:w="1382" w:type="dxa"/>
            <w:gridSpan w:val="2"/>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Sum/9</w:t>
            </w:r>
          </w:p>
        </w:tc>
        <w:tc>
          <w:tcPr>
            <w:tcW w:w="1263" w:type="dxa"/>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Fall/10</w:t>
            </w:r>
          </w:p>
        </w:tc>
        <w:tc>
          <w:tcPr>
            <w:tcW w:w="1286" w:type="dxa"/>
            <w:gridSpan w:val="2"/>
            <w:shd w:val="clear" w:color="auto" w:fill="C5E0B3" w:themeFill="accent6" w:themeFillTint="66"/>
          </w:tcPr>
          <w:p w:rsidR="00C653DF" w:rsidRPr="005857FA" w:rsidRDefault="00C653DF" w:rsidP="009E33CC">
            <w:pPr>
              <w:pStyle w:val="NoSpacing"/>
              <w:jc w:val="center"/>
              <w:rPr>
                <w:b/>
                <w:sz w:val="18"/>
                <w:szCs w:val="18"/>
              </w:rPr>
            </w:pPr>
            <w:r w:rsidRPr="005857FA">
              <w:rPr>
                <w:b/>
                <w:sz w:val="18"/>
                <w:szCs w:val="18"/>
              </w:rPr>
              <w:t>Spr/11</w:t>
            </w:r>
          </w:p>
        </w:tc>
      </w:tr>
      <w:tr w:rsidR="00C653DF" w:rsidRPr="0021691E" w:rsidTr="00887DF0">
        <w:trPr>
          <w:trHeight w:val="236"/>
        </w:trPr>
        <w:tc>
          <w:tcPr>
            <w:tcW w:w="9350" w:type="dxa"/>
            <w:gridSpan w:val="9"/>
            <w:shd w:val="clear" w:color="auto" w:fill="EDEDED" w:themeFill="accent3" w:themeFillTint="33"/>
          </w:tcPr>
          <w:p w:rsidR="00C653DF" w:rsidRPr="0021691E" w:rsidRDefault="00887DF0" w:rsidP="009E33CC">
            <w:pPr>
              <w:pStyle w:val="NoSpacing"/>
              <w:tabs>
                <w:tab w:val="left" w:pos="2136"/>
                <w:tab w:val="left" w:pos="4380"/>
                <w:tab w:val="left" w:pos="6564"/>
                <w:tab w:val="left" w:pos="8688"/>
                <w:tab w:val="left" w:pos="11004"/>
                <w:tab w:val="left" w:pos="12996"/>
              </w:tabs>
              <w:rPr>
                <w:rFonts w:asciiTheme="majorHAnsi" w:hAnsiTheme="majorHAnsi"/>
                <w:b/>
                <w:sz w:val="18"/>
                <w:szCs w:val="18"/>
              </w:rPr>
            </w:pPr>
            <w:r>
              <w:rPr>
                <w:rFonts w:asciiTheme="majorHAnsi" w:hAnsiTheme="majorHAnsi"/>
                <w:b/>
                <w:sz w:val="18"/>
                <w:szCs w:val="18"/>
              </w:rPr>
              <w:t xml:space="preserve">                                       </w:t>
            </w:r>
            <w:r w:rsidR="00C653DF" w:rsidRPr="0021691E">
              <w:rPr>
                <w:rFonts w:asciiTheme="majorHAnsi" w:hAnsiTheme="majorHAnsi"/>
                <w:b/>
                <w:sz w:val="18"/>
                <w:szCs w:val="18"/>
              </w:rPr>
              <w:t>7834L</w:t>
            </w:r>
            <w:r>
              <w:rPr>
                <w:rFonts w:asciiTheme="majorHAnsi" w:hAnsiTheme="majorHAnsi"/>
                <w:b/>
                <w:sz w:val="18"/>
                <w:szCs w:val="18"/>
              </w:rPr>
              <w:t xml:space="preserve">                         </w:t>
            </w:r>
            <w:r w:rsidR="00C653DF" w:rsidRPr="0021691E">
              <w:rPr>
                <w:rFonts w:asciiTheme="majorHAnsi" w:hAnsiTheme="majorHAnsi"/>
                <w:b/>
                <w:sz w:val="18"/>
                <w:szCs w:val="18"/>
              </w:rPr>
              <w:t>7835L</w:t>
            </w:r>
            <w:r w:rsidR="00C653DF" w:rsidRPr="0021691E">
              <w:rPr>
                <w:rFonts w:asciiTheme="majorHAnsi" w:hAnsiTheme="majorHAnsi"/>
                <w:b/>
                <w:sz w:val="18"/>
                <w:szCs w:val="18"/>
              </w:rPr>
              <w:tab/>
            </w:r>
            <w:r>
              <w:rPr>
                <w:rFonts w:asciiTheme="majorHAnsi" w:hAnsiTheme="majorHAnsi"/>
                <w:b/>
                <w:sz w:val="18"/>
                <w:szCs w:val="18"/>
              </w:rPr>
              <w:t xml:space="preserve"> </w:t>
            </w:r>
            <w:r w:rsidR="000718FD">
              <w:rPr>
                <w:rFonts w:asciiTheme="majorHAnsi" w:hAnsiTheme="majorHAnsi"/>
                <w:b/>
                <w:sz w:val="18"/>
                <w:szCs w:val="18"/>
              </w:rPr>
              <w:t xml:space="preserve"> </w:t>
            </w:r>
            <w:r>
              <w:rPr>
                <w:rFonts w:asciiTheme="majorHAnsi" w:hAnsiTheme="majorHAnsi"/>
                <w:b/>
                <w:sz w:val="18"/>
                <w:szCs w:val="18"/>
              </w:rPr>
              <w:t xml:space="preserve"> </w:t>
            </w:r>
            <w:r w:rsidR="00C653DF" w:rsidRPr="0021691E">
              <w:rPr>
                <w:rFonts w:asciiTheme="majorHAnsi" w:hAnsiTheme="majorHAnsi"/>
                <w:b/>
                <w:sz w:val="18"/>
                <w:szCs w:val="18"/>
              </w:rPr>
              <w:t>7836L</w:t>
            </w:r>
            <w:r>
              <w:rPr>
                <w:rFonts w:asciiTheme="majorHAnsi" w:hAnsiTheme="majorHAnsi"/>
                <w:b/>
                <w:sz w:val="18"/>
                <w:szCs w:val="18"/>
              </w:rPr>
              <w:t xml:space="preserve">                      </w:t>
            </w:r>
            <w:r w:rsidR="00C653DF" w:rsidRPr="0021691E">
              <w:rPr>
                <w:rFonts w:asciiTheme="majorHAnsi" w:hAnsiTheme="majorHAnsi"/>
                <w:b/>
                <w:sz w:val="18"/>
                <w:szCs w:val="18"/>
              </w:rPr>
              <w:t>8837L</w:t>
            </w:r>
            <w:r w:rsidR="00C653DF" w:rsidRPr="0021691E">
              <w:rPr>
                <w:rFonts w:asciiTheme="majorHAnsi" w:hAnsiTheme="majorHAnsi"/>
                <w:b/>
                <w:sz w:val="18"/>
                <w:szCs w:val="18"/>
              </w:rPr>
              <w:tab/>
            </w:r>
            <w:r>
              <w:rPr>
                <w:rFonts w:asciiTheme="majorHAnsi" w:hAnsiTheme="majorHAnsi"/>
                <w:b/>
                <w:sz w:val="18"/>
                <w:szCs w:val="18"/>
              </w:rPr>
              <w:t xml:space="preserve">              </w:t>
            </w:r>
            <w:r w:rsidR="00C653DF" w:rsidRPr="0021691E">
              <w:rPr>
                <w:rFonts w:asciiTheme="majorHAnsi" w:hAnsiTheme="majorHAnsi"/>
                <w:b/>
                <w:sz w:val="18"/>
                <w:szCs w:val="18"/>
              </w:rPr>
              <w:t>8838L</w:t>
            </w:r>
            <w:r>
              <w:rPr>
                <w:rFonts w:asciiTheme="majorHAnsi" w:hAnsiTheme="majorHAnsi"/>
                <w:b/>
                <w:sz w:val="18"/>
                <w:szCs w:val="18"/>
              </w:rPr>
              <w:t xml:space="preserve">                   </w:t>
            </w:r>
            <w:r w:rsidR="00C653DF" w:rsidRPr="0021691E">
              <w:rPr>
                <w:rFonts w:asciiTheme="majorHAnsi" w:hAnsiTheme="majorHAnsi"/>
                <w:b/>
                <w:sz w:val="18"/>
                <w:szCs w:val="18"/>
              </w:rPr>
              <w:t>8839L</w:t>
            </w:r>
          </w:p>
        </w:tc>
      </w:tr>
      <w:tr w:rsidR="00C653DF" w:rsidTr="00733182">
        <w:trPr>
          <w:trHeight w:val="2141"/>
        </w:trPr>
        <w:tc>
          <w:tcPr>
            <w:tcW w:w="1338" w:type="dxa"/>
          </w:tcPr>
          <w:p w:rsidR="00C653DF" w:rsidRPr="0094181F" w:rsidRDefault="00C653DF" w:rsidP="009E33CC">
            <w:pPr>
              <w:pStyle w:val="NoSpacing"/>
              <w:jc w:val="right"/>
              <w:rPr>
                <w:b/>
                <w:i/>
                <w:sz w:val="18"/>
                <w:szCs w:val="18"/>
              </w:rPr>
            </w:pPr>
            <w:r w:rsidRPr="0094181F">
              <w:rPr>
                <w:b/>
                <w:i/>
                <w:sz w:val="18"/>
                <w:szCs w:val="18"/>
              </w:rPr>
              <w:t>Phase 1 Evals</w:t>
            </w:r>
          </w:p>
          <w:p w:rsidR="00C653DF" w:rsidRPr="006E1F94" w:rsidRDefault="00C653DF" w:rsidP="009E33CC">
            <w:pPr>
              <w:pStyle w:val="NoSpacing"/>
              <w:rPr>
                <w:sz w:val="14"/>
                <w:szCs w:val="14"/>
              </w:rPr>
            </w:pPr>
            <w:r w:rsidRPr="0078312E">
              <w:rPr>
                <w:sz w:val="14"/>
                <w:szCs w:val="14"/>
              </w:rPr>
              <w:t>(2 or more cases</w:t>
            </w:r>
            <w:r>
              <w:rPr>
                <w:sz w:val="14"/>
                <w:szCs w:val="14"/>
              </w:rPr>
              <w:t xml:space="preserve"> after deadline</w:t>
            </w:r>
            <w:r w:rsidRPr="0094181F">
              <w:rPr>
                <w:sz w:val="14"/>
                <w:szCs w:val="14"/>
              </w:rPr>
              <w:t xml:space="preserve"> will receive a </w:t>
            </w:r>
            <w:r w:rsidRPr="0094181F">
              <w:rPr>
                <w:b/>
                <w:sz w:val="14"/>
                <w:szCs w:val="14"/>
                <w:u w:val="single"/>
              </w:rPr>
              <w:t>Notification of Progress</w:t>
            </w:r>
            <w:r w:rsidRPr="0094181F">
              <w:rPr>
                <w:sz w:val="14"/>
                <w:szCs w:val="14"/>
              </w:rPr>
              <w:t xml:space="preserve"> letter</w:t>
            </w:r>
            <w:r>
              <w:rPr>
                <w:sz w:val="14"/>
                <w:szCs w:val="14"/>
              </w:rPr>
              <w:t>. E</w:t>
            </w:r>
            <w:r w:rsidRPr="0094181F">
              <w:rPr>
                <w:sz w:val="14"/>
                <w:szCs w:val="14"/>
              </w:rPr>
              <w:t xml:space="preserve">ligible </w:t>
            </w:r>
            <w:r>
              <w:rPr>
                <w:sz w:val="14"/>
                <w:szCs w:val="14"/>
              </w:rPr>
              <w:t>for</w:t>
            </w:r>
            <w:r w:rsidRPr="0094181F">
              <w:rPr>
                <w:sz w:val="14"/>
                <w:szCs w:val="14"/>
              </w:rPr>
              <w:t xml:space="preserve"> max </w:t>
            </w:r>
            <w:r w:rsidRPr="0094181F">
              <w:rPr>
                <w:color w:val="FF0000"/>
                <w:sz w:val="14"/>
                <w:szCs w:val="14"/>
              </w:rPr>
              <w:t>C grade</w:t>
            </w:r>
            <w:r w:rsidRPr="0094181F">
              <w:rPr>
                <w:sz w:val="14"/>
                <w:szCs w:val="14"/>
              </w:rPr>
              <w:t xml:space="preserve"> that semester)</w:t>
            </w:r>
          </w:p>
        </w:tc>
        <w:tc>
          <w:tcPr>
            <w:tcW w:w="1132" w:type="dxa"/>
          </w:tcPr>
          <w:p w:rsidR="00C653DF" w:rsidRPr="005857FA" w:rsidRDefault="00733182" w:rsidP="009E33CC">
            <w:pPr>
              <w:pStyle w:val="NoSpacing"/>
              <w:jc w:val="center"/>
              <w:rPr>
                <w:sz w:val="18"/>
                <w:szCs w:val="18"/>
              </w:rPr>
            </w:pPr>
            <w:r>
              <w:rPr>
                <w:noProof/>
                <w:sz w:val="14"/>
                <w:szCs w:val="14"/>
              </w:rPr>
              <mc:AlternateContent>
                <mc:Choice Requires="wps">
                  <w:drawing>
                    <wp:anchor distT="0" distB="0" distL="114300" distR="114300" simplePos="0" relativeHeight="251659264" behindDoc="0" locked="0" layoutInCell="1" allowOverlap="1" wp14:anchorId="2A65B597" wp14:editId="1AF42285">
                      <wp:simplePos x="0" y="0"/>
                      <wp:positionH relativeFrom="column">
                        <wp:posOffset>-75997</wp:posOffset>
                      </wp:positionH>
                      <wp:positionV relativeFrom="paragraph">
                        <wp:posOffset>1026292</wp:posOffset>
                      </wp:positionV>
                      <wp:extent cx="1854056" cy="326546"/>
                      <wp:effectExtent l="57150" t="19050" r="70485" b="92710"/>
                      <wp:wrapNone/>
                      <wp:docPr id="2" name="Rectangle 2"/>
                      <wp:cNvGraphicFramePr/>
                      <a:graphic xmlns:a="http://schemas.openxmlformats.org/drawingml/2006/main">
                        <a:graphicData uri="http://schemas.microsoft.com/office/word/2010/wordprocessingShape">
                          <wps:wsp>
                            <wps:cNvSpPr/>
                            <wps:spPr>
                              <a:xfrm>
                                <a:off x="0" y="0"/>
                                <a:ext cx="1854056" cy="32654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733182" w:rsidRPr="009B4DE7" w:rsidRDefault="00733182" w:rsidP="00733182">
                                  <w:pPr>
                                    <w:jc w:val="center"/>
                                    <w:rPr>
                                      <w:sz w:val="14"/>
                                    </w:rPr>
                                  </w:pPr>
                                  <w:r w:rsidRPr="009B4DE7">
                                    <w:rPr>
                                      <w:sz w:val="14"/>
                                    </w:rPr>
                                    <w:t>Phase 1 Eval secondary provider codes D4380S, D4380AS*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B597" id="Rectangle 2" o:spid="_x0000_s1026" style="position:absolute;left:0;text-align:left;margin-left:-6pt;margin-top:80.8pt;width:146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" fillcolor="#4f7ac7 [3028]" strokecolor="#4472c4 [3204]" strokeweight=".5pt">
                      <v:fill color2="#416fc3 [3172]" rotate="t" colors="0 #6083cb;.5 #3e70ca;1 #2e61ba" focus="100%" type="gradient">
                        <o:fill v:ext="view" type="gradientUnscaled"/>
                      </v:fill>
                      <v:textbox>
                        <w:txbxContent>
                          <w:p w:rsidR="00733182" w:rsidRPr="009B4DE7" w:rsidRDefault="00733182" w:rsidP="00733182">
                            <w:pPr>
                              <w:jc w:val="center"/>
                              <w:rPr>
                                <w:sz w:val="14"/>
                              </w:rPr>
                            </w:pPr>
                            <w:r w:rsidRPr="009B4DE7">
                              <w:rPr>
                                <w:sz w:val="14"/>
                              </w:rPr>
                              <w:t>Phase 1 Eval secondary provider codes D4380S, D4380AS*</w:t>
                            </w:r>
                          </w:p>
                        </w:txbxContent>
                      </v:textbox>
                    </v:rect>
                  </w:pict>
                </mc:Fallback>
              </mc:AlternateContent>
            </w:r>
            <w:r w:rsidR="00F65238">
              <w:rPr>
                <w:sz w:val="16"/>
                <w:szCs w:val="18"/>
              </w:rPr>
              <w:t xml:space="preserve"> </w:t>
            </w:r>
          </w:p>
        </w:tc>
        <w:tc>
          <w:tcPr>
            <w:tcW w:w="1824" w:type="dxa"/>
          </w:tcPr>
          <w:p w:rsidR="00C653DF" w:rsidRDefault="00C653DF" w:rsidP="009E33CC">
            <w:pPr>
              <w:pStyle w:val="NoSpacing"/>
              <w:jc w:val="center"/>
              <w:rPr>
                <w:sz w:val="18"/>
                <w:szCs w:val="18"/>
              </w:rPr>
            </w:pPr>
            <w:r>
              <w:rPr>
                <w:sz w:val="18"/>
                <w:szCs w:val="18"/>
              </w:rPr>
              <w:t>Recommend 3 Phase 1</w:t>
            </w:r>
          </w:p>
          <w:p w:rsidR="00C653DF" w:rsidRPr="005857FA" w:rsidRDefault="00C653DF"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tc>
        <w:tc>
          <w:tcPr>
            <w:tcW w:w="1157" w:type="dxa"/>
            <w:gridSpan w:val="2"/>
          </w:tcPr>
          <w:p w:rsidR="00C653DF" w:rsidRDefault="00C653DF" w:rsidP="009E33CC">
            <w:pPr>
              <w:pStyle w:val="NoSpacing"/>
              <w:jc w:val="center"/>
              <w:rPr>
                <w:sz w:val="18"/>
                <w:szCs w:val="18"/>
              </w:rPr>
            </w:pPr>
            <w:r>
              <w:rPr>
                <w:sz w:val="18"/>
                <w:szCs w:val="18"/>
              </w:rPr>
              <w:t>Must have 6 Phase 1</w:t>
            </w:r>
          </w:p>
          <w:p w:rsidR="00C653DF" w:rsidRPr="005857FA" w:rsidRDefault="00C653DF"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tc>
        <w:tc>
          <w:tcPr>
            <w:tcW w:w="1350" w:type="dxa"/>
          </w:tcPr>
          <w:p w:rsidR="00C653DF" w:rsidRDefault="00C653DF" w:rsidP="009E33CC">
            <w:pPr>
              <w:pStyle w:val="NoSpacing"/>
              <w:jc w:val="center"/>
              <w:rPr>
                <w:sz w:val="18"/>
                <w:szCs w:val="18"/>
              </w:rPr>
            </w:pPr>
            <w:r>
              <w:rPr>
                <w:sz w:val="18"/>
                <w:szCs w:val="18"/>
              </w:rPr>
              <w:t>Recommend 8 Phase 1</w:t>
            </w:r>
          </w:p>
          <w:p w:rsidR="00C653DF" w:rsidRPr="005857FA" w:rsidRDefault="00C653DF"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p>
        </w:tc>
        <w:tc>
          <w:tcPr>
            <w:tcW w:w="1274" w:type="dxa"/>
            <w:gridSpan w:val="2"/>
          </w:tcPr>
          <w:p w:rsidR="00C653DF" w:rsidRDefault="00C653DF" w:rsidP="009E33CC">
            <w:pPr>
              <w:pStyle w:val="NoSpacing"/>
              <w:jc w:val="center"/>
              <w:rPr>
                <w:sz w:val="18"/>
                <w:szCs w:val="18"/>
              </w:rPr>
            </w:pPr>
            <w:r>
              <w:rPr>
                <w:sz w:val="18"/>
                <w:szCs w:val="18"/>
              </w:rPr>
              <w:t>Must have 9 Phase 1 Total</w:t>
            </w:r>
          </w:p>
          <w:p w:rsidR="00C653DF" w:rsidRPr="005857FA" w:rsidRDefault="00C653DF" w:rsidP="009E33CC">
            <w:pPr>
              <w:pStyle w:val="NoSpacing"/>
              <w:jc w:val="center"/>
              <w:rPr>
                <w:sz w:val="18"/>
                <w:szCs w:val="18"/>
              </w:rPr>
            </w:pPr>
            <w:r>
              <w:rPr>
                <w:sz w:val="18"/>
                <w:szCs w:val="18"/>
              </w:rPr>
              <w:sym w:font="Wingdings" w:char="F06F"/>
            </w:r>
            <w:r>
              <w:rPr>
                <w:sz w:val="18"/>
                <w:szCs w:val="18"/>
              </w:rPr>
              <w:t xml:space="preserve">  (4 Complex/5 Simple)</w:t>
            </w:r>
          </w:p>
        </w:tc>
        <w:tc>
          <w:tcPr>
            <w:tcW w:w="1275" w:type="dxa"/>
          </w:tcPr>
          <w:p w:rsidR="00C653DF" w:rsidRPr="000317CE" w:rsidRDefault="00C653DF" w:rsidP="009E33CC">
            <w:pPr>
              <w:pStyle w:val="NoSpacing"/>
              <w:jc w:val="center"/>
              <w:rPr>
                <w:sz w:val="16"/>
                <w:szCs w:val="16"/>
              </w:rPr>
            </w:pPr>
            <w:r>
              <w:rPr>
                <w:sz w:val="18"/>
                <w:szCs w:val="18"/>
              </w:rPr>
              <w:t xml:space="preserve">All Remediation Completed  </w:t>
            </w:r>
          </w:p>
        </w:tc>
      </w:tr>
      <w:tr w:rsidR="00C653DF" w:rsidTr="00887DF0">
        <w:trPr>
          <w:trHeight w:val="236"/>
        </w:trPr>
        <w:tc>
          <w:tcPr>
            <w:tcW w:w="1338" w:type="dxa"/>
          </w:tcPr>
          <w:p w:rsidR="00C653DF" w:rsidRPr="00BE0F89" w:rsidRDefault="00C653DF" w:rsidP="009E33CC">
            <w:pPr>
              <w:pStyle w:val="NoSpacing"/>
              <w:jc w:val="right"/>
              <w:rPr>
                <w:b/>
                <w:i/>
                <w:sz w:val="18"/>
                <w:szCs w:val="18"/>
              </w:rPr>
            </w:pPr>
            <w:r w:rsidRPr="00BE0F89">
              <w:rPr>
                <w:b/>
                <w:i/>
                <w:sz w:val="18"/>
                <w:szCs w:val="18"/>
              </w:rPr>
              <w:t>Clinic Experience</w:t>
            </w:r>
          </w:p>
        </w:tc>
        <w:tc>
          <w:tcPr>
            <w:tcW w:w="1132" w:type="dxa"/>
          </w:tcPr>
          <w:p w:rsidR="00C653DF" w:rsidRDefault="00C653DF" w:rsidP="009E33CC">
            <w:pPr>
              <w:pStyle w:val="NoSpacing"/>
              <w:jc w:val="center"/>
              <w:rPr>
                <w:sz w:val="18"/>
                <w:szCs w:val="18"/>
              </w:rPr>
            </w:pPr>
            <w:r>
              <w:rPr>
                <w:sz w:val="18"/>
                <w:szCs w:val="18"/>
              </w:rPr>
              <w:t xml:space="preserve">2 </w:t>
            </w:r>
            <w:proofErr w:type="gramStart"/>
            <w:r>
              <w:rPr>
                <w:sz w:val="18"/>
                <w:szCs w:val="18"/>
              </w:rPr>
              <w:t>COEs  assist</w:t>
            </w:r>
            <w:proofErr w:type="gramEnd"/>
          </w:p>
          <w:p w:rsidR="00C653DF" w:rsidRDefault="00C653DF" w:rsidP="009E33CC">
            <w:pPr>
              <w:pStyle w:val="NoSpacing"/>
              <w:jc w:val="center"/>
              <w:rPr>
                <w:sz w:val="18"/>
                <w:szCs w:val="18"/>
              </w:rPr>
            </w:pP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p>
          <w:p w:rsidR="00C653DF" w:rsidRDefault="00C653DF" w:rsidP="009E33CC">
            <w:pPr>
              <w:pStyle w:val="Default"/>
              <w:jc w:val="center"/>
              <w:rPr>
                <w:sz w:val="16"/>
                <w:szCs w:val="16"/>
              </w:rPr>
            </w:pPr>
            <w:r>
              <w:rPr>
                <w:sz w:val="16"/>
                <w:szCs w:val="16"/>
              </w:rPr>
              <w:t xml:space="preserve">(N0150) </w:t>
            </w:r>
          </w:p>
          <w:p w:rsidR="00C653DF" w:rsidRDefault="00C653DF" w:rsidP="009E33CC">
            <w:pPr>
              <w:pStyle w:val="NoSpacing"/>
              <w:jc w:val="center"/>
              <w:rPr>
                <w:sz w:val="18"/>
                <w:szCs w:val="18"/>
              </w:rPr>
            </w:pPr>
          </w:p>
          <w:p w:rsidR="00C653DF" w:rsidRDefault="00C653DF" w:rsidP="009E33CC">
            <w:pPr>
              <w:pStyle w:val="NoSpacing"/>
              <w:jc w:val="center"/>
              <w:rPr>
                <w:sz w:val="14"/>
                <w:szCs w:val="14"/>
              </w:rPr>
            </w:pPr>
            <w:r>
              <w:rPr>
                <w:sz w:val="18"/>
                <w:szCs w:val="18"/>
              </w:rPr>
              <w:t xml:space="preserve">1 recall case </w:t>
            </w:r>
            <w:r>
              <w:rPr>
                <w:sz w:val="18"/>
                <w:szCs w:val="18"/>
              </w:rPr>
              <w:sym w:font="Wingdings" w:char="F06F"/>
            </w:r>
            <w:r w:rsidRPr="001D5C93">
              <w:rPr>
                <w:sz w:val="14"/>
                <w:szCs w:val="14"/>
              </w:rPr>
              <w:t xml:space="preserve"> </w:t>
            </w:r>
          </w:p>
          <w:p w:rsidR="00C653DF" w:rsidRPr="00FF4989" w:rsidRDefault="00C653DF" w:rsidP="009E33CC">
            <w:pPr>
              <w:pStyle w:val="Default"/>
              <w:jc w:val="center"/>
              <w:rPr>
                <w:sz w:val="16"/>
                <w:szCs w:val="16"/>
              </w:rPr>
            </w:pPr>
            <w:r>
              <w:rPr>
                <w:sz w:val="16"/>
                <w:szCs w:val="16"/>
              </w:rPr>
              <w:t xml:space="preserve">(1110/4910) </w:t>
            </w:r>
          </w:p>
        </w:tc>
        <w:tc>
          <w:tcPr>
            <w:tcW w:w="6880" w:type="dxa"/>
            <w:gridSpan w:val="7"/>
          </w:tcPr>
          <w:p w:rsidR="00C653DF" w:rsidRPr="0094181F" w:rsidRDefault="00C653DF" w:rsidP="009E33CC">
            <w:pPr>
              <w:pStyle w:val="NoSpacing"/>
              <w:jc w:val="center"/>
              <w:rPr>
                <w:sz w:val="18"/>
                <w:szCs w:val="18"/>
              </w:rPr>
            </w:pPr>
            <w:r w:rsidRPr="0094181F">
              <w:rPr>
                <w:sz w:val="18"/>
                <w:szCs w:val="18"/>
              </w:rPr>
              <w:t xml:space="preserve">10 SRP </w:t>
            </w:r>
            <w:r w:rsidRPr="0094449F">
              <w:rPr>
                <w:sz w:val="14"/>
                <w:szCs w:val="14"/>
              </w:rPr>
              <w:t>(D4341/4342)</w:t>
            </w:r>
            <w:r>
              <w:rPr>
                <w:sz w:val="14"/>
                <w:szCs w:val="14"/>
              </w:rPr>
              <w:t>:</w:t>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p>
          <w:p w:rsidR="00C653DF" w:rsidRDefault="00C653DF" w:rsidP="009E33CC">
            <w:pPr>
              <w:pStyle w:val="NoSpacing"/>
              <w:jc w:val="center"/>
              <w:rPr>
                <w:sz w:val="18"/>
                <w:szCs w:val="18"/>
              </w:rPr>
            </w:pPr>
            <w:r w:rsidRPr="0094181F">
              <w:rPr>
                <w:sz w:val="18"/>
                <w:szCs w:val="18"/>
              </w:rPr>
              <w:t xml:space="preserve">10 SPTs </w:t>
            </w:r>
            <w:r w:rsidRPr="0094449F">
              <w:rPr>
                <w:sz w:val="14"/>
                <w:szCs w:val="14"/>
              </w:rPr>
              <w:t>(4910)</w:t>
            </w:r>
            <w:r>
              <w:rPr>
                <w:sz w:val="18"/>
                <w:szCs w:val="18"/>
              </w:rPr>
              <w:t xml:space="preserve"> – </w:t>
            </w:r>
            <w:r w:rsidRPr="0094181F">
              <w:rPr>
                <w:sz w:val="14"/>
                <w:szCs w:val="14"/>
              </w:rPr>
              <w:t>perform at least the first 2 maintenance for any pt whom they have performed the Phase 1 re-eval</w:t>
            </w:r>
            <w:r>
              <w:rPr>
                <w:sz w:val="14"/>
                <w:szCs w:val="14"/>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p w:rsidR="00C653DF" w:rsidRDefault="00C653DF" w:rsidP="009E33CC">
            <w:pPr>
              <w:pStyle w:val="NoSpacing"/>
              <w:jc w:val="center"/>
              <w:rPr>
                <w:sz w:val="18"/>
                <w:szCs w:val="18"/>
              </w:rPr>
            </w:pPr>
            <w:r>
              <w:rPr>
                <w:sz w:val="18"/>
                <w:szCs w:val="18"/>
              </w:rPr>
              <w:t>1 tobacco counseling code &amp; referral (D1320)</w:t>
            </w:r>
            <w:r>
              <w:rPr>
                <w:sz w:val="14"/>
                <w:szCs w:val="14"/>
              </w:rPr>
              <w:t xml:space="preserve">:  </w:t>
            </w:r>
            <w:r>
              <w:rPr>
                <w:sz w:val="18"/>
                <w:szCs w:val="18"/>
              </w:rPr>
              <w:sym w:font="Wingdings" w:char="F06F"/>
            </w:r>
            <w:r>
              <w:rPr>
                <w:sz w:val="18"/>
                <w:szCs w:val="18"/>
              </w:rPr>
              <w:t xml:space="preserve"> </w:t>
            </w:r>
          </w:p>
          <w:p w:rsidR="00C653DF" w:rsidRPr="005857FA" w:rsidRDefault="00C653DF" w:rsidP="009E33CC">
            <w:pPr>
              <w:pStyle w:val="NoSpacing"/>
              <w:jc w:val="center"/>
              <w:rPr>
                <w:sz w:val="18"/>
                <w:szCs w:val="18"/>
              </w:rPr>
            </w:pPr>
          </w:p>
        </w:tc>
      </w:tr>
      <w:tr w:rsidR="00C653DF" w:rsidTr="00887DF0">
        <w:trPr>
          <w:trHeight w:val="236"/>
        </w:trPr>
        <w:tc>
          <w:tcPr>
            <w:tcW w:w="1338" w:type="dxa"/>
          </w:tcPr>
          <w:p w:rsidR="00C653DF" w:rsidRPr="00BE0F89" w:rsidRDefault="00C653DF" w:rsidP="009E33CC">
            <w:pPr>
              <w:pStyle w:val="NoSpacing"/>
              <w:jc w:val="right"/>
              <w:rPr>
                <w:b/>
                <w:i/>
                <w:sz w:val="18"/>
                <w:szCs w:val="18"/>
              </w:rPr>
            </w:pPr>
            <w:r w:rsidRPr="00BE0F89">
              <w:rPr>
                <w:b/>
                <w:i/>
                <w:sz w:val="18"/>
                <w:szCs w:val="18"/>
              </w:rPr>
              <w:t>Rotation</w:t>
            </w:r>
          </w:p>
        </w:tc>
        <w:tc>
          <w:tcPr>
            <w:tcW w:w="1132" w:type="dxa"/>
          </w:tcPr>
          <w:p w:rsidR="00C653DF" w:rsidRPr="005857FA" w:rsidRDefault="00C653DF" w:rsidP="009E33CC">
            <w:pPr>
              <w:pStyle w:val="NoSpacing"/>
              <w:rPr>
                <w:sz w:val="18"/>
                <w:szCs w:val="18"/>
              </w:rPr>
            </w:pPr>
          </w:p>
        </w:tc>
        <w:tc>
          <w:tcPr>
            <w:tcW w:w="1824" w:type="dxa"/>
          </w:tcPr>
          <w:p w:rsidR="00C653DF" w:rsidRPr="005857FA" w:rsidRDefault="00C653DF" w:rsidP="009E33CC">
            <w:pPr>
              <w:pStyle w:val="NoSpacing"/>
              <w:rPr>
                <w:sz w:val="18"/>
                <w:szCs w:val="18"/>
              </w:rPr>
            </w:pPr>
          </w:p>
        </w:tc>
        <w:tc>
          <w:tcPr>
            <w:tcW w:w="3781" w:type="dxa"/>
            <w:gridSpan w:val="5"/>
            <w:shd w:val="clear" w:color="auto" w:fill="FFE599" w:themeFill="accent4" w:themeFillTint="66"/>
          </w:tcPr>
          <w:p w:rsidR="00C653DF" w:rsidRPr="00BE0F89" w:rsidRDefault="00C653DF" w:rsidP="009E33CC">
            <w:pPr>
              <w:pStyle w:val="NoSpacing"/>
              <w:jc w:val="center"/>
              <w:rPr>
                <w:b/>
                <w:sz w:val="18"/>
                <w:szCs w:val="18"/>
              </w:rPr>
            </w:pPr>
            <w:r>
              <w:rPr>
                <w:sz w:val="18"/>
                <w:szCs w:val="18"/>
              </w:rPr>
              <w:t>Grad Clinic Rotation</w:t>
            </w:r>
          </w:p>
        </w:tc>
        <w:tc>
          <w:tcPr>
            <w:tcW w:w="1275" w:type="dxa"/>
          </w:tcPr>
          <w:p w:rsidR="00C653DF" w:rsidRPr="005857FA" w:rsidRDefault="00C653DF" w:rsidP="009E33CC">
            <w:pPr>
              <w:pStyle w:val="NoSpacing"/>
              <w:rPr>
                <w:sz w:val="18"/>
                <w:szCs w:val="18"/>
              </w:rPr>
            </w:pPr>
          </w:p>
        </w:tc>
      </w:tr>
      <w:tr w:rsidR="00C653DF" w:rsidTr="00887DF0">
        <w:trPr>
          <w:trHeight w:val="236"/>
        </w:trPr>
        <w:tc>
          <w:tcPr>
            <w:tcW w:w="1338" w:type="dxa"/>
          </w:tcPr>
          <w:p w:rsidR="00C653DF" w:rsidRDefault="00C653DF" w:rsidP="009E33CC">
            <w:pPr>
              <w:pStyle w:val="NoSpacing"/>
              <w:jc w:val="right"/>
              <w:rPr>
                <w:b/>
                <w:i/>
                <w:sz w:val="18"/>
                <w:szCs w:val="18"/>
              </w:rPr>
            </w:pPr>
            <w:r w:rsidRPr="00BE0F89">
              <w:rPr>
                <w:b/>
                <w:i/>
                <w:sz w:val="18"/>
                <w:szCs w:val="18"/>
              </w:rPr>
              <w:t>RVU</w:t>
            </w:r>
          </w:p>
          <w:p w:rsidR="00C653DF" w:rsidRPr="001D5C93" w:rsidRDefault="00C653DF" w:rsidP="009E33CC">
            <w:pPr>
              <w:pStyle w:val="NoSpacing"/>
              <w:jc w:val="right"/>
              <w:rPr>
                <w:sz w:val="14"/>
                <w:szCs w:val="14"/>
              </w:rPr>
            </w:pPr>
          </w:p>
        </w:tc>
        <w:tc>
          <w:tcPr>
            <w:tcW w:w="1132" w:type="dxa"/>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950</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=691-950</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650-690</w:t>
            </w:r>
          </w:p>
          <w:p w:rsidR="00C653DF" w:rsidRPr="00693997" w:rsidRDefault="00C653DF" w:rsidP="009E33CC">
            <w:pPr>
              <w:pStyle w:val="NoSpacing"/>
              <w:rPr>
                <w:sz w:val="16"/>
                <w:szCs w:val="16"/>
              </w:rPr>
            </w:pPr>
            <w:r>
              <w:rPr>
                <w:sz w:val="16"/>
                <w:szCs w:val="16"/>
              </w:rPr>
              <w:t>1 &lt;650</w:t>
            </w:r>
          </w:p>
          <w:p w:rsidR="00C653DF" w:rsidRPr="00693997" w:rsidRDefault="00C653DF" w:rsidP="009E33CC">
            <w:pPr>
              <w:pStyle w:val="NoSpacing"/>
              <w:rPr>
                <w:sz w:val="16"/>
                <w:szCs w:val="16"/>
              </w:rPr>
            </w:pPr>
          </w:p>
        </w:tc>
        <w:tc>
          <w:tcPr>
            <w:tcW w:w="1824" w:type="dxa"/>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2575</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=2065-2575</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1725-2064</w:t>
            </w:r>
          </w:p>
          <w:p w:rsidR="00C653DF" w:rsidRPr="00693997" w:rsidRDefault="00C653DF" w:rsidP="009E33CC">
            <w:pPr>
              <w:pStyle w:val="NoSpacing"/>
              <w:rPr>
                <w:sz w:val="16"/>
                <w:szCs w:val="16"/>
              </w:rPr>
            </w:pPr>
            <w:r>
              <w:rPr>
                <w:sz w:val="16"/>
                <w:szCs w:val="16"/>
              </w:rPr>
              <w:t>1 &lt;1725</w:t>
            </w:r>
          </w:p>
          <w:p w:rsidR="00C653DF" w:rsidRPr="00693997" w:rsidRDefault="00C653DF" w:rsidP="009E33CC">
            <w:pPr>
              <w:pStyle w:val="NoSpacing"/>
              <w:rPr>
                <w:sz w:val="16"/>
                <w:szCs w:val="16"/>
              </w:rPr>
            </w:pPr>
          </w:p>
        </w:tc>
        <w:tc>
          <w:tcPr>
            <w:tcW w:w="1157" w:type="dxa"/>
            <w:gridSpan w:val="2"/>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4740</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=3856-4740</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2970-3855</w:t>
            </w:r>
          </w:p>
          <w:p w:rsidR="00C653DF" w:rsidRPr="00693997" w:rsidRDefault="00C653DF" w:rsidP="009E33CC">
            <w:pPr>
              <w:pStyle w:val="NoSpacing"/>
              <w:rPr>
                <w:sz w:val="16"/>
                <w:szCs w:val="16"/>
              </w:rPr>
            </w:pPr>
            <w:r>
              <w:rPr>
                <w:sz w:val="16"/>
                <w:szCs w:val="16"/>
              </w:rPr>
              <w:t>1 &lt;2970</w:t>
            </w:r>
          </w:p>
          <w:p w:rsidR="00C653DF" w:rsidRPr="00693997" w:rsidRDefault="00C653DF" w:rsidP="009E33CC">
            <w:pPr>
              <w:pStyle w:val="NoSpacing"/>
              <w:rPr>
                <w:sz w:val="16"/>
                <w:szCs w:val="16"/>
              </w:rPr>
            </w:pPr>
          </w:p>
        </w:tc>
        <w:tc>
          <w:tcPr>
            <w:tcW w:w="1350" w:type="dxa"/>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6860</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=6059-6860</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4450-6058</w:t>
            </w:r>
          </w:p>
          <w:p w:rsidR="00C653DF" w:rsidRPr="00693997" w:rsidRDefault="00C653DF" w:rsidP="009E33CC">
            <w:pPr>
              <w:pStyle w:val="NoSpacing"/>
              <w:rPr>
                <w:sz w:val="16"/>
                <w:szCs w:val="16"/>
              </w:rPr>
            </w:pPr>
            <w:r>
              <w:rPr>
                <w:sz w:val="16"/>
                <w:szCs w:val="16"/>
              </w:rPr>
              <w:t>1 &lt;4450</w:t>
            </w:r>
          </w:p>
          <w:p w:rsidR="00C653DF" w:rsidRPr="00693997" w:rsidRDefault="00C653DF" w:rsidP="009E33CC">
            <w:pPr>
              <w:pStyle w:val="NoSpacing"/>
              <w:rPr>
                <w:sz w:val="16"/>
                <w:szCs w:val="16"/>
              </w:rPr>
            </w:pPr>
          </w:p>
        </w:tc>
        <w:tc>
          <w:tcPr>
            <w:tcW w:w="1274" w:type="dxa"/>
            <w:gridSpan w:val="2"/>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9290</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=8361-9290</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6500-8360</w:t>
            </w:r>
          </w:p>
          <w:p w:rsidR="00C653DF" w:rsidRPr="00693997" w:rsidRDefault="00C653DF" w:rsidP="009E33CC">
            <w:pPr>
              <w:pStyle w:val="NoSpacing"/>
              <w:rPr>
                <w:sz w:val="16"/>
                <w:szCs w:val="16"/>
              </w:rPr>
            </w:pPr>
            <w:r>
              <w:rPr>
                <w:sz w:val="16"/>
                <w:szCs w:val="16"/>
              </w:rPr>
              <w:t>1 &lt;6500</w:t>
            </w:r>
          </w:p>
          <w:p w:rsidR="00C653DF" w:rsidRPr="00693997" w:rsidRDefault="00C653DF" w:rsidP="009E33CC">
            <w:pPr>
              <w:pStyle w:val="NoSpacing"/>
              <w:rPr>
                <w:sz w:val="16"/>
                <w:szCs w:val="16"/>
              </w:rPr>
            </w:pPr>
          </w:p>
        </w:tc>
        <w:tc>
          <w:tcPr>
            <w:tcW w:w="1275" w:type="dxa"/>
          </w:tcPr>
          <w:p w:rsidR="00C653DF" w:rsidRPr="00693997" w:rsidRDefault="00C653DF"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10400</w:t>
            </w:r>
          </w:p>
          <w:p w:rsidR="00C653DF" w:rsidRPr="00693997" w:rsidRDefault="00C653DF" w:rsidP="009E33CC">
            <w:pPr>
              <w:pStyle w:val="NoSpacing"/>
              <w:rPr>
                <w:sz w:val="16"/>
                <w:szCs w:val="16"/>
              </w:rPr>
            </w:pPr>
            <w:r>
              <w:rPr>
                <w:sz w:val="16"/>
                <w:szCs w:val="16"/>
              </w:rPr>
              <w:t>3</w:t>
            </w:r>
            <w:r w:rsidRPr="00693997">
              <w:rPr>
                <w:sz w:val="16"/>
                <w:szCs w:val="16"/>
              </w:rPr>
              <w:t xml:space="preserve"> </w:t>
            </w:r>
            <w:r>
              <w:rPr>
                <w:sz w:val="16"/>
                <w:szCs w:val="16"/>
              </w:rPr>
              <w:t>=9021-10400</w:t>
            </w:r>
          </w:p>
          <w:p w:rsidR="00C653DF" w:rsidRPr="00693997" w:rsidRDefault="00C653DF" w:rsidP="009E33CC">
            <w:pPr>
              <w:pStyle w:val="NoSpacing"/>
              <w:rPr>
                <w:sz w:val="16"/>
                <w:szCs w:val="16"/>
              </w:rPr>
            </w:pPr>
            <w:r>
              <w:rPr>
                <w:sz w:val="16"/>
                <w:szCs w:val="16"/>
              </w:rPr>
              <w:t>2</w:t>
            </w:r>
            <w:r w:rsidRPr="00693997">
              <w:rPr>
                <w:sz w:val="16"/>
                <w:szCs w:val="16"/>
              </w:rPr>
              <w:t xml:space="preserve"> = </w:t>
            </w:r>
            <w:r>
              <w:rPr>
                <w:sz w:val="16"/>
                <w:szCs w:val="16"/>
              </w:rPr>
              <w:t>7200-9020</w:t>
            </w:r>
          </w:p>
          <w:p w:rsidR="00C653DF" w:rsidRPr="00693997" w:rsidRDefault="00C653DF" w:rsidP="009E33CC">
            <w:pPr>
              <w:pStyle w:val="NoSpacing"/>
              <w:rPr>
                <w:sz w:val="16"/>
                <w:szCs w:val="16"/>
              </w:rPr>
            </w:pPr>
            <w:r>
              <w:rPr>
                <w:sz w:val="16"/>
                <w:szCs w:val="16"/>
              </w:rPr>
              <w:t>1 &lt;7200</w:t>
            </w:r>
          </w:p>
          <w:p w:rsidR="00C653DF" w:rsidRPr="00693997" w:rsidRDefault="00C653DF" w:rsidP="009E33CC">
            <w:pPr>
              <w:pStyle w:val="NoSpacing"/>
              <w:rPr>
                <w:sz w:val="16"/>
                <w:szCs w:val="16"/>
              </w:rPr>
            </w:pPr>
          </w:p>
        </w:tc>
      </w:tr>
      <w:tr w:rsidR="00C653DF" w:rsidTr="00887DF0">
        <w:trPr>
          <w:trHeight w:val="236"/>
        </w:trPr>
        <w:tc>
          <w:tcPr>
            <w:tcW w:w="1338" w:type="dxa"/>
            <w:shd w:val="clear" w:color="auto" w:fill="BDD6EE" w:themeFill="accent5" w:themeFillTint="66"/>
          </w:tcPr>
          <w:p w:rsidR="00C653DF" w:rsidRPr="00004551" w:rsidRDefault="00C653DF" w:rsidP="009E33CC">
            <w:pPr>
              <w:pStyle w:val="NoSpacing"/>
              <w:jc w:val="right"/>
              <w:rPr>
                <w:b/>
                <w:color w:val="000000" w:themeColor="text1"/>
                <w:sz w:val="18"/>
                <w:szCs w:val="18"/>
              </w:rPr>
            </w:pPr>
            <w:r w:rsidRPr="00004551">
              <w:rPr>
                <w:b/>
                <w:color w:val="000000" w:themeColor="text1"/>
                <w:sz w:val="18"/>
                <w:szCs w:val="18"/>
              </w:rPr>
              <w:t>Semester Grades</w:t>
            </w:r>
          </w:p>
        </w:tc>
        <w:tc>
          <w:tcPr>
            <w:tcW w:w="8012" w:type="dxa"/>
            <w:gridSpan w:val="8"/>
            <w:shd w:val="clear" w:color="auto" w:fill="BDD6EE" w:themeFill="accent5" w:themeFillTint="66"/>
          </w:tcPr>
          <w:p w:rsidR="00C653DF" w:rsidRPr="00A01098" w:rsidRDefault="00C653DF" w:rsidP="009E33CC">
            <w:pPr>
              <w:pStyle w:val="NoSpacing"/>
              <w:jc w:val="center"/>
              <w:rPr>
                <w:color w:val="000000" w:themeColor="text1"/>
                <w:sz w:val="18"/>
                <w:szCs w:val="14"/>
              </w:rPr>
            </w:pPr>
            <w:r w:rsidRPr="00A01098">
              <w:rPr>
                <w:color w:val="000000" w:themeColor="text1"/>
                <w:sz w:val="18"/>
                <w:szCs w:val="14"/>
              </w:rPr>
              <w:t>Daily Grades 70%, RVU,30%, Competency Assessments S/U</w:t>
            </w:r>
          </w:p>
        </w:tc>
      </w:tr>
      <w:tr w:rsidR="00C653DF" w:rsidTr="00887DF0">
        <w:trPr>
          <w:trHeight w:val="236"/>
        </w:trPr>
        <w:tc>
          <w:tcPr>
            <w:tcW w:w="1338" w:type="dxa"/>
          </w:tcPr>
          <w:p w:rsidR="00C653DF" w:rsidRPr="00C80CC6" w:rsidRDefault="00C653DF" w:rsidP="009E33CC">
            <w:pPr>
              <w:pStyle w:val="NoSpacing"/>
              <w:jc w:val="right"/>
              <w:rPr>
                <w:b/>
                <w:color w:val="C00000"/>
                <w:sz w:val="18"/>
                <w:szCs w:val="18"/>
              </w:rPr>
            </w:pPr>
            <w:r>
              <w:rPr>
                <w:b/>
                <w:color w:val="C00000"/>
                <w:sz w:val="18"/>
                <w:szCs w:val="18"/>
              </w:rPr>
              <w:t>Formative assessment</w:t>
            </w:r>
          </w:p>
        </w:tc>
        <w:tc>
          <w:tcPr>
            <w:tcW w:w="1132" w:type="dxa"/>
          </w:tcPr>
          <w:p w:rsidR="00C653DF" w:rsidRPr="005857FA" w:rsidRDefault="00C653DF" w:rsidP="009E33CC">
            <w:pPr>
              <w:pStyle w:val="NoSpacing"/>
              <w:jc w:val="right"/>
              <w:rPr>
                <w:sz w:val="18"/>
                <w:szCs w:val="18"/>
              </w:rPr>
            </w:pPr>
          </w:p>
        </w:tc>
        <w:tc>
          <w:tcPr>
            <w:tcW w:w="1824" w:type="dxa"/>
            <w:shd w:val="clear" w:color="auto" w:fill="auto"/>
          </w:tcPr>
          <w:p w:rsidR="00C653DF" w:rsidRPr="00F23969" w:rsidRDefault="00C653DF" w:rsidP="009E33CC">
            <w:pPr>
              <w:pStyle w:val="NoSpacing"/>
              <w:jc w:val="center"/>
              <w:rPr>
                <w:b/>
                <w:bCs/>
                <w:sz w:val="18"/>
                <w:szCs w:val="18"/>
              </w:rPr>
            </w:pPr>
            <w:r>
              <w:rPr>
                <w:sz w:val="18"/>
                <w:szCs w:val="18"/>
              </w:rPr>
              <w:sym w:font="Wingdings" w:char="F06F"/>
            </w:r>
            <w:r>
              <w:rPr>
                <w:sz w:val="18"/>
                <w:szCs w:val="18"/>
              </w:rPr>
              <w:t xml:space="preserve"> </w:t>
            </w:r>
            <w:r w:rsidRPr="00F23969">
              <w:rPr>
                <w:b/>
                <w:bCs/>
                <w:sz w:val="16"/>
                <w:szCs w:val="16"/>
              </w:rPr>
              <w:t>Calculus detection and removal skills assessment</w:t>
            </w:r>
          </w:p>
          <w:p w:rsidR="00C653DF" w:rsidRPr="00F23969" w:rsidRDefault="00C653DF" w:rsidP="009E33CC">
            <w:pPr>
              <w:pStyle w:val="NoSpacing"/>
              <w:jc w:val="center"/>
              <w:rPr>
                <w:sz w:val="14"/>
                <w:szCs w:val="14"/>
              </w:rPr>
            </w:pPr>
            <w:r w:rsidRPr="00F23969">
              <w:rPr>
                <w:sz w:val="14"/>
                <w:szCs w:val="14"/>
              </w:rPr>
              <w:t>(Min 3 quads SRP)</w:t>
            </w:r>
          </w:p>
          <w:p w:rsidR="00C653DF" w:rsidRPr="00FF4989" w:rsidRDefault="00C653DF" w:rsidP="009E33CC">
            <w:pPr>
              <w:pStyle w:val="Default"/>
              <w:jc w:val="center"/>
              <w:rPr>
                <w:color w:val="E26C09"/>
                <w:sz w:val="16"/>
                <w:szCs w:val="16"/>
              </w:rPr>
            </w:pPr>
            <w:r w:rsidRPr="00F23969">
              <w:rPr>
                <w:b/>
                <w:bCs/>
                <w:color w:val="E26C09"/>
                <w:sz w:val="16"/>
                <w:szCs w:val="16"/>
              </w:rPr>
              <w:t>1110/4346/4341/4342</w:t>
            </w:r>
            <w:r>
              <w:rPr>
                <w:b/>
                <w:bCs/>
                <w:color w:val="E26C09"/>
                <w:sz w:val="16"/>
                <w:szCs w:val="16"/>
              </w:rPr>
              <w:t xml:space="preserve"> </w:t>
            </w:r>
          </w:p>
        </w:tc>
        <w:tc>
          <w:tcPr>
            <w:tcW w:w="1157" w:type="dxa"/>
            <w:gridSpan w:val="2"/>
            <w:shd w:val="clear" w:color="auto" w:fill="auto"/>
          </w:tcPr>
          <w:p w:rsidR="00C653DF" w:rsidRDefault="00C653DF" w:rsidP="009E33CC">
            <w:pPr>
              <w:pStyle w:val="NoSpacing"/>
              <w:jc w:val="center"/>
              <w:rPr>
                <w:sz w:val="18"/>
                <w:szCs w:val="18"/>
              </w:rPr>
            </w:pPr>
          </w:p>
        </w:tc>
        <w:tc>
          <w:tcPr>
            <w:tcW w:w="1350" w:type="dxa"/>
            <w:shd w:val="clear" w:color="auto" w:fill="auto"/>
          </w:tcPr>
          <w:p w:rsidR="00C653DF" w:rsidRDefault="00C653DF" w:rsidP="009E33CC">
            <w:pPr>
              <w:pStyle w:val="NoSpacing"/>
              <w:jc w:val="center"/>
              <w:rPr>
                <w:sz w:val="18"/>
                <w:szCs w:val="18"/>
              </w:rPr>
            </w:pPr>
          </w:p>
        </w:tc>
        <w:tc>
          <w:tcPr>
            <w:tcW w:w="1274" w:type="dxa"/>
            <w:gridSpan w:val="2"/>
            <w:shd w:val="clear" w:color="auto" w:fill="auto"/>
          </w:tcPr>
          <w:p w:rsidR="00C653DF" w:rsidRDefault="00C653DF" w:rsidP="009E33CC">
            <w:pPr>
              <w:pStyle w:val="NoSpacing"/>
              <w:jc w:val="center"/>
              <w:rPr>
                <w:sz w:val="18"/>
                <w:szCs w:val="18"/>
              </w:rPr>
            </w:pPr>
          </w:p>
        </w:tc>
        <w:tc>
          <w:tcPr>
            <w:tcW w:w="1275" w:type="dxa"/>
            <w:shd w:val="clear" w:color="auto" w:fill="auto"/>
          </w:tcPr>
          <w:p w:rsidR="00C653DF" w:rsidRPr="000A70F5" w:rsidRDefault="00C653DF" w:rsidP="009E33CC">
            <w:pPr>
              <w:pStyle w:val="NoSpacing"/>
              <w:jc w:val="center"/>
              <w:rPr>
                <w:sz w:val="14"/>
                <w:szCs w:val="14"/>
              </w:rPr>
            </w:pPr>
          </w:p>
        </w:tc>
      </w:tr>
      <w:tr w:rsidR="00C653DF" w:rsidTr="00887DF0">
        <w:trPr>
          <w:trHeight w:val="236"/>
        </w:trPr>
        <w:tc>
          <w:tcPr>
            <w:tcW w:w="1338" w:type="dxa"/>
          </w:tcPr>
          <w:p w:rsidR="00C653DF" w:rsidRPr="00EF0C58" w:rsidRDefault="00C653DF" w:rsidP="009E33CC">
            <w:pPr>
              <w:pStyle w:val="NoSpacing"/>
              <w:jc w:val="right"/>
              <w:rPr>
                <w:b/>
                <w:i/>
                <w:color w:val="C00000"/>
                <w:sz w:val="18"/>
                <w:szCs w:val="18"/>
              </w:rPr>
            </w:pPr>
            <w:r w:rsidRPr="00EF0C58">
              <w:rPr>
                <w:b/>
                <w:i/>
                <w:color w:val="C00000"/>
                <w:sz w:val="18"/>
                <w:szCs w:val="18"/>
              </w:rPr>
              <w:t>Competency</w:t>
            </w:r>
          </w:p>
          <w:p w:rsidR="00C653DF" w:rsidRDefault="00C653DF" w:rsidP="009E33CC">
            <w:pPr>
              <w:pStyle w:val="NoSpacing"/>
              <w:rPr>
                <w:sz w:val="14"/>
                <w:szCs w:val="14"/>
              </w:rPr>
            </w:pPr>
            <w:r>
              <w:rPr>
                <w:sz w:val="14"/>
                <w:szCs w:val="14"/>
              </w:rPr>
              <w:t>(</w:t>
            </w:r>
            <w:r w:rsidRPr="0010591A">
              <w:rPr>
                <w:b/>
                <w:i/>
                <w:color w:val="0070C0"/>
                <w:sz w:val="14"/>
                <w:szCs w:val="14"/>
              </w:rPr>
              <w:t>Complex</w:t>
            </w:r>
            <w:r w:rsidRPr="0094181F">
              <w:rPr>
                <w:b/>
                <w:i/>
                <w:sz w:val="14"/>
                <w:szCs w:val="14"/>
              </w:rPr>
              <w:t xml:space="preserve">: </w:t>
            </w:r>
            <w:r>
              <w:rPr>
                <w:sz w:val="14"/>
                <w:szCs w:val="14"/>
              </w:rPr>
              <w:t xml:space="preserve">Adult dentition; min 10 teeth; PD </w:t>
            </w:r>
            <w:r w:rsidRPr="0094181F">
              <w:rPr>
                <w:sz w:val="14"/>
                <w:szCs w:val="14"/>
                <w:u w:val="single"/>
              </w:rPr>
              <w:t>&gt;</w:t>
            </w:r>
            <w:r>
              <w:rPr>
                <w:sz w:val="14"/>
                <w:szCs w:val="14"/>
              </w:rPr>
              <w:t>4mm on at least 5 teeth, at least 20% radiographic bone loss; min of 1 molar tooth w/ furcation involvement; clinically detectable subgingival calculus</w:t>
            </w:r>
          </w:p>
          <w:p w:rsidR="00C653DF" w:rsidRPr="0094181F" w:rsidRDefault="00C653DF" w:rsidP="009E33CC">
            <w:pPr>
              <w:pStyle w:val="NoSpacing"/>
              <w:rPr>
                <w:sz w:val="14"/>
                <w:szCs w:val="14"/>
              </w:rPr>
            </w:pPr>
            <w:r w:rsidRPr="0010591A">
              <w:rPr>
                <w:b/>
                <w:i/>
                <w:color w:val="0070C0"/>
                <w:sz w:val="14"/>
                <w:szCs w:val="14"/>
              </w:rPr>
              <w:t>Simple</w:t>
            </w:r>
            <w:r w:rsidRPr="001D5C93">
              <w:rPr>
                <w:b/>
                <w:i/>
                <w:sz w:val="14"/>
                <w:szCs w:val="14"/>
              </w:rPr>
              <w:t>:</w:t>
            </w:r>
            <w:r>
              <w:rPr>
                <w:sz w:val="14"/>
                <w:szCs w:val="14"/>
              </w:rPr>
              <w:t xml:space="preserve"> cases that do not meet the complex case criteria)</w:t>
            </w:r>
          </w:p>
        </w:tc>
        <w:tc>
          <w:tcPr>
            <w:tcW w:w="1132" w:type="dxa"/>
          </w:tcPr>
          <w:p w:rsidR="00C653DF" w:rsidRPr="005857FA" w:rsidRDefault="00C653DF" w:rsidP="009E33CC">
            <w:pPr>
              <w:pStyle w:val="NoSpacing"/>
              <w:jc w:val="right"/>
              <w:rPr>
                <w:sz w:val="18"/>
                <w:szCs w:val="18"/>
              </w:rPr>
            </w:pPr>
          </w:p>
        </w:tc>
        <w:tc>
          <w:tcPr>
            <w:tcW w:w="1824" w:type="dxa"/>
            <w:shd w:val="clear" w:color="auto" w:fill="auto"/>
          </w:tcPr>
          <w:p w:rsidR="00C653DF" w:rsidRDefault="00C653DF" w:rsidP="009E33CC">
            <w:pPr>
              <w:pStyle w:val="Default"/>
              <w:ind w:left="720"/>
              <w:jc w:val="center"/>
              <w:rPr>
                <w:sz w:val="18"/>
                <w:szCs w:val="18"/>
              </w:rPr>
            </w:pPr>
          </w:p>
        </w:tc>
        <w:tc>
          <w:tcPr>
            <w:tcW w:w="1157" w:type="dxa"/>
            <w:gridSpan w:val="2"/>
            <w:shd w:val="clear" w:color="auto" w:fill="F7CAAC" w:themeFill="accent2" w:themeFillTint="66"/>
          </w:tcPr>
          <w:p w:rsidR="00C653DF" w:rsidRPr="001702FE" w:rsidRDefault="00C653DF" w:rsidP="009E33CC">
            <w:pPr>
              <w:pStyle w:val="NoSpacing"/>
              <w:jc w:val="center"/>
              <w:rPr>
                <w:b/>
                <w:i/>
                <w:sz w:val="16"/>
                <w:szCs w:val="16"/>
                <w:u w:val="single"/>
              </w:rPr>
            </w:pPr>
            <w:r>
              <w:rPr>
                <w:sz w:val="18"/>
                <w:szCs w:val="18"/>
              </w:rPr>
              <w:sym w:font="Wingdings" w:char="F06F"/>
            </w:r>
            <w:r>
              <w:rPr>
                <w:sz w:val="18"/>
                <w:szCs w:val="18"/>
              </w:rPr>
              <w:t xml:space="preserve"> </w:t>
            </w:r>
            <w:r>
              <w:rPr>
                <w:b/>
                <w:sz w:val="16"/>
                <w:szCs w:val="16"/>
              </w:rPr>
              <w:t xml:space="preserve">SRP </w:t>
            </w:r>
            <w:proofErr w:type="gramStart"/>
            <w:r w:rsidRPr="0094181F">
              <w:rPr>
                <w:b/>
                <w:sz w:val="16"/>
                <w:szCs w:val="16"/>
              </w:rPr>
              <w:t xml:space="preserve">Complex </w:t>
            </w:r>
            <w:r>
              <w:rPr>
                <w:b/>
                <w:sz w:val="16"/>
                <w:szCs w:val="16"/>
              </w:rPr>
              <w:t xml:space="preserve"> </w:t>
            </w:r>
            <w:r>
              <w:rPr>
                <w:b/>
                <w:i/>
                <w:sz w:val="16"/>
                <w:szCs w:val="16"/>
                <w:u w:val="single"/>
              </w:rPr>
              <w:t>(</w:t>
            </w:r>
            <w:proofErr w:type="gramEnd"/>
            <w:r>
              <w:rPr>
                <w:b/>
                <w:i/>
                <w:sz w:val="16"/>
                <w:szCs w:val="16"/>
                <w:u w:val="single"/>
              </w:rPr>
              <w:t>PE1-</w:t>
            </w:r>
            <w:r w:rsidRPr="001702FE">
              <w:rPr>
                <w:b/>
                <w:i/>
                <w:sz w:val="16"/>
                <w:szCs w:val="16"/>
                <w:u w:val="single"/>
              </w:rPr>
              <w:t>C)</w:t>
            </w:r>
          </w:p>
          <w:p w:rsidR="00C653DF" w:rsidRDefault="00C653DF" w:rsidP="009E33CC">
            <w:pPr>
              <w:pStyle w:val="NoSpacing"/>
              <w:jc w:val="center"/>
              <w:rPr>
                <w:sz w:val="14"/>
                <w:szCs w:val="14"/>
              </w:rPr>
            </w:pPr>
            <w:r>
              <w:rPr>
                <w:sz w:val="14"/>
                <w:szCs w:val="14"/>
              </w:rPr>
              <w:t>(Min 10</w:t>
            </w:r>
            <w:r w:rsidRPr="0094181F">
              <w:rPr>
                <w:sz w:val="14"/>
                <w:szCs w:val="14"/>
              </w:rPr>
              <w:t xml:space="preserve"> SRP Pt cases)</w:t>
            </w:r>
          </w:p>
          <w:p w:rsidR="00C653DF" w:rsidRDefault="00C653DF" w:rsidP="009E33CC">
            <w:pPr>
              <w:pStyle w:val="Default"/>
              <w:jc w:val="center"/>
              <w:rPr>
                <w:color w:val="1F487C"/>
                <w:sz w:val="16"/>
                <w:szCs w:val="16"/>
              </w:rPr>
            </w:pPr>
            <w:r>
              <w:rPr>
                <w:b/>
                <w:bCs/>
                <w:color w:val="1F487C"/>
                <w:sz w:val="16"/>
                <w:szCs w:val="16"/>
              </w:rPr>
              <w:t xml:space="preserve">4341/4342 </w:t>
            </w:r>
          </w:p>
          <w:p w:rsidR="00C653DF" w:rsidRPr="0094181F" w:rsidRDefault="00C653DF" w:rsidP="009E33CC">
            <w:pPr>
              <w:pStyle w:val="NoSpacing"/>
              <w:jc w:val="center"/>
              <w:rPr>
                <w:b/>
                <w:sz w:val="16"/>
                <w:szCs w:val="16"/>
              </w:rPr>
            </w:pPr>
          </w:p>
        </w:tc>
        <w:tc>
          <w:tcPr>
            <w:tcW w:w="1350" w:type="dxa"/>
            <w:shd w:val="clear" w:color="auto" w:fill="F7CAAC" w:themeFill="accent2" w:themeFillTint="66"/>
          </w:tcPr>
          <w:p w:rsidR="00C653DF" w:rsidRDefault="00C653DF" w:rsidP="009E33CC">
            <w:pPr>
              <w:pStyle w:val="NoSpacing"/>
              <w:jc w:val="center"/>
              <w:rPr>
                <w:sz w:val="14"/>
                <w:szCs w:val="14"/>
              </w:rPr>
            </w:pPr>
            <w:r>
              <w:rPr>
                <w:sz w:val="18"/>
                <w:szCs w:val="18"/>
              </w:rPr>
              <w:sym w:font="Wingdings" w:char="F06F"/>
            </w:r>
            <w:r>
              <w:rPr>
                <w:sz w:val="18"/>
                <w:szCs w:val="18"/>
              </w:rPr>
              <w:t xml:space="preserve"> </w:t>
            </w:r>
            <w:r w:rsidRPr="0094181F">
              <w:rPr>
                <w:b/>
                <w:sz w:val="16"/>
                <w:szCs w:val="16"/>
              </w:rPr>
              <w:t>Phase 1</w:t>
            </w:r>
            <w:r w:rsidRPr="0094181F">
              <w:rPr>
                <w:sz w:val="16"/>
                <w:szCs w:val="16"/>
              </w:rPr>
              <w:t xml:space="preserve"> </w:t>
            </w:r>
            <w:r>
              <w:rPr>
                <w:b/>
                <w:sz w:val="16"/>
                <w:szCs w:val="16"/>
              </w:rPr>
              <w:t>Comple</w:t>
            </w:r>
            <w:r w:rsidRPr="0094181F">
              <w:rPr>
                <w:b/>
                <w:sz w:val="16"/>
                <w:szCs w:val="16"/>
              </w:rPr>
              <w:t>x</w:t>
            </w:r>
            <w:r>
              <w:rPr>
                <w:b/>
                <w:sz w:val="16"/>
                <w:szCs w:val="16"/>
              </w:rPr>
              <w:t xml:space="preserve"> </w:t>
            </w:r>
            <w:r>
              <w:rPr>
                <w:b/>
                <w:i/>
                <w:sz w:val="16"/>
                <w:szCs w:val="16"/>
                <w:u w:val="single"/>
              </w:rPr>
              <w:t>(PE2-</w:t>
            </w:r>
            <w:r w:rsidRPr="001702FE">
              <w:rPr>
                <w:b/>
                <w:i/>
                <w:sz w:val="16"/>
                <w:szCs w:val="16"/>
                <w:u w:val="single"/>
              </w:rPr>
              <w:t>C)</w:t>
            </w:r>
          </w:p>
          <w:p w:rsidR="00C653DF" w:rsidRDefault="00C653DF" w:rsidP="009E33CC">
            <w:pPr>
              <w:pStyle w:val="NoSpacing"/>
              <w:jc w:val="center"/>
              <w:rPr>
                <w:sz w:val="14"/>
                <w:szCs w:val="14"/>
              </w:rPr>
            </w:pPr>
            <w:r>
              <w:rPr>
                <w:sz w:val="14"/>
                <w:szCs w:val="14"/>
              </w:rPr>
              <w:t>(Min 5 Ph 1 eval with at least 1 complex)</w:t>
            </w:r>
          </w:p>
          <w:p w:rsidR="00C653DF" w:rsidRDefault="00C653DF" w:rsidP="009E33CC">
            <w:pPr>
              <w:pStyle w:val="Default"/>
              <w:jc w:val="center"/>
              <w:rPr>
                <w:sz w:val="16"/>
                <w:szCs w:val="16"/>
              </w:rPr>
            </w:pPr>
            <w:r>
              <w:rPr>
                <w:b/>
                <w:bCs/>
                <w:sz w:val="16"/>
                <w:szCs w:val="16"/>
              </w:rPr>
              <w:t xml:space="preserve">4380/4380A </w:t>
            </w:r>
          </w:p>
          <w:p w:rsidR="00C653DF" w:rsidRPr="0094181F" w:rsidRDefault="00C653DF" w:rsidP="009E33CC">
            <w:pPr>
              <w:pStyle w:val="NoSpacing"/>
              <w:jc w:val="center"/>
              <w:rPr>
                <w:sz w:val="14"/>
                <w:szCs w:val="14"/>
              </w:rPr>
            </w:pPr>
          </w:p>
        </w:tc>
        <w:tc>
          <w:tcPr>
            <w:tcW w:w="1274" w:type="dxa"/>
            <w:gridSpan w:val="2"/>
            <w:shd w:val="clear" w:color="auto" w:fill="F7CAAC" w:themeFill="accent2" w:themeFillTint="66"/>
          </w:tcPr>
          <w:p w:rsidR="00C653DF" w:rsidRDefault="00C653DF" w:rsidP="009E33CC">
            <w:pPr>
              <w:pStyle w:val="NoSpacing"/>
              <w:jc w:val="center"/>
              <w:rPr>
                <w:b/>
                <w:sz w:val="16"/>
                <w:szCs w:val="16"/>
              </w:rPr>
            </w:pPr>
            <w:r>
              <w:rPr>
                <w:sz w:val="18"/>
                <w:szCs w:val="18"/>
              </w:rPr>
              <w:sym w:font="Wingdings" w:char="F06F"/>
            </w:r>
            <w:r>
              <w:rPr>
                <w:sz w:val="18"/>
                <w:szCs w:val="18"/>
              </w:rPr>
              <w:t xml:space="preserve"> </w:t>
            </w:r>
            <w:r w:rsidRPr="0094181F">
              <w:rPr>
                <w:b/>
                <w:sz w:val="16"/>
                <w:szCs w:val="16"/>
              </w:rPr>
              <w:t xml:space="preserve">SPT </w:t>
            </w:r>
          </w:p>
          <w:p w:rsidR="00C653DF" w:rsidRPr="002A4880" w:rsidRDefault="00C653DF" w:rsidP="009E33CC">
            <w:pPr>
              <w:pStyle w:val="NoSpacing"/>
              <w:jc w:val="center"/>
              <w:rPr>
                <w:b/>
                <w:sz w:val="16"/>
                <w:szCs w:val="16"/>
              </w:rPr>
            </w:pPr>
            <w:r>
              <w:rPr>
                <w:b/>
                <w:i/>
                <w:sz w:val="16"/>
                <w:szCs w:val="16"/>
                <w:u w:val="single"/>
              </w:rPr>
              <w:t>(PE3-</w:t>
            </w:r>
            <w:r w:rsidRPr="001702FE">
              <w:rPr>
                <w:b/>
                <w:i/>
                <w:sz w:val="16"/>
                <w:szCs w:val="16"/>
                <w:u w:val="single"/>
              </w:rPr>
              <w:t>C)</w:t>
            </w:r>
          </w:p>
          <w:p w:rsidR="00C653DF" w:rsidRDefault="00C653DF" w:rsidP="009E33CC">
            <w:pPr>
              <w:pStyle w:val="NoSpacing"/>
              <w:jc w:val="center"/>
              <w:rPr>
                <w:sz w:val="14"/>
                <w:szCs w:val="14"/>
              </w:rPr>
            </w:pPr>
            <w:r>
              <w:rPr>
                <w:sz w:val="14"/>
                <w:szCs w:val="14"/>
              </w:rPr>
              <w:t xml:space="preserve"> </w:t>
            </w:r>
          </w:p>
          <w:p w:rsidR="00C653DF" w:rsidRDefault="00C653DF" w:rsidP="009E33CC">
            <w:pPr>
              <w:pStyle w:val="NoSpacing"/>
              <w:jc w:val="center"/>
              <w:rPr>
                <w:sz w:val="14"/>
                <w:szCs w:val="14"/>
              </w:rPr>
            </w:pPr>
            <w:r>
              <w:rPr>
                <w:sz w:val="14"/>
                <w:szCs w:val="14"/>
              </w:rPr>
              <w:t>(Min 5</w:t>
            </w:r>
            <w:r w:rsidRPr="0094181F">
              <w:rPr>
                <w:sz w:val="14"/>
                <w:szCs w:val="14"/>
              </w:rPr>
              <w:t xml:space="preserve"> SPT pt cases)</w:t>
            </w:r>
            <w:r>
              <w:rPr>
                <w:sz w:val="14"/>
                <w:szCs w:val="14"/>
              </w:rPr>
              <w:t xml:space="preserve"> </w:t>
            </w:r>
          </w:p>
          <w:p w:rsidR="00C653DF" w:rsidRDefault="00C653DF" w:rsidP="009E33CC">
            <w:pPr>
              <w:pStyle w:val="Default"/>
              <w:jc w:val="center"/>
              <w:rPr>
                <w:sz w:val="16"/>
                <w:szCs w:val="16"/>
              </w:rPr>
            </w:pPr>
            <w:r>
              <w:rPr>
                <w:b/>
                <w:bCs/>
                <w:sz w:val="16"/>
                <w:szCs w:val="16"/>
              </w:rPr>
              <w:t xml:space="preserve">4910 </w:t>
            </w:r>
          </w:p>
          <w:p w:rsidR="00C653DF" w:rsidRPr="0094181F" w:rsidRDefault="00C653DF" w:rsidP="009E33CC">
            <w:pPr>
              <w:pStyle w:val="NoSpacing"/>
              <w:jc w:val="center"/>
              <w:rPr>
                <w:b/>
                <w:sz w:val="18"/>
                <w:szCs w:val="18"/>
              </w:rPr>
            </w:pPr>
          </w:p>
          <w:p w:rsidR="00C653DF" w:rsidRPr="0094181F" w:rsidRDefault="00C653DF" w:rsidP="009E33CC">
            <w:pPr>
              <w:pStyle w:val="NoSpacing"/>
              <w:jc w:val="center"/>
              <w:rPr>
                <w:sz w:val="16"/>
                <w:szCs w:val="16"/>
              </w:rPr>
            </w:pPr>
          </w:p>
        </w:tc>
        <w:tc>
          <w:tcPr>
            <w:tcW w:w="1275" w:type="dxa"/>
            <w:shd w:val="clear" w:color="auto" w:fill="auto"/>
          </w:tcPr>
          <w:p w:rsidR="00C653DF" w:rsidRPr="0094181F" w:rsidRDefault="00C653DF" w:rsidP="009E33CC">
            <w:pPr>
              <w:pStyle w:val="NoSpacing"/>
              <w:jc w:val="center"/>
              <w:rPr>
                <w:b/>
                <w:sz w:val="16"/>
                <w:szCs w:val="16"/>
              </w:rPr>
            </w:pPr>
          </w:p>
        </w:tc>
      </w:tr>
      <w:tr w:rsidR="00C653DF" w:rsidTr="00887DF0">
        <w:trPr>
          <w:trHeight w:val="236"/>
        </w:trPr>
        <w:tc>
          <w:tcPr>
            <w:tcW w:w="1338" w:type="dxa"/>
          </w:tcPr>
          <w:p w:rsidR="00C653DF" w:rsidRPr="00EF0C58" w:rsidRDefault="00C653DF" w:rsidP="009E33CC">
            <w:pPr>
              <w:pStyle w:val="NoSpacing"/>
              <w:jc w:val="right"/>
              <w:rPr>
                <w:b/>
                <w:i/>
                <w:color w:val="C00000"/>
                <w:sz w:val="18"/>
                <w:szCs w:val="18"/>
              </w:rPr>
            </w:pPr>
          </w:p>
        </w:tc>
        <w:tc>
          <w:tcPr>
            <w:tcW w:w="1132" w:type="dxa"/>
          </w:tcPr>
          <w:p w:rsidR="00C653DF" w:rsidRPr="005857FA" w:rsidRDefault="00C653DF" w:rsidP="009E33CC">
            <w:pPr>
              <w:pStyle w:val="NoSpacing"/>
              <w:jc w:val="right"/>
              <w:rPr>
                <w:sz w:val="18"/>
                <w:szCs w:val="18"/>
              </w:rPr>
            </w:pPr>
          </w:p>
        </w:tc>
        <w:tc>
          <w:tcPr>
            <w:tcW w:w="6880" w:type="dxa"/>
            <w:gridSpan w:val="7"/>
            <w:shd w:val="clear" w:color="auto" w:fill="F7CAAC" w:themeFill="accent2" w:themeFillTint="66"/>
          </w:tcPr>
          <w:p w:rsidR="00C653DF" w:rsidRDefault="00C653DF" w:rsidP="009E33CC">
            <w:pPr>
              <w:pStyle w:val="NoSpacing"/>
              <w:jc w:val="center"/>
              <w:rPr>
                <w:sz w:val="18"/>
                <w:szCs w:val="18"/>
              </w:rPr>
            </w:pPr>
            <w:r>
              <w:rPr>
                <w:sz w:val="18"/>
                <w:szCs w:val="18"/>
              </w:rPr>
              <w:t xml:space="preserve">Competencies </w:t>
            </w:r>
            <w:r w:rsidR="00EF5814">
              <w:rPr>
                <w:sz w:val="18"/>
                <w:szCs w:val="18"/>
              </w:rPr>
              <w:t>should</w:t>
            </w:r>
            <w:r>
              <w:rPr>
                <w:sz w:val="18"/>
                <w:szCs w:val="18"/>
              </w:rPr>
              <w:t xml:space="preserve"> be </w:t>
            </w:r>
            <w:r w:rsidR="00EF5814">
              <w:rPr>
                <w:sz w:val="18"/>
                <w:szCs w:val="18"/>
              </w:rPr>
              <w:t>completed</w:t>
            </w:r>
            <w:r>
              <w:rPr>
                <w:sz w:val="18"/>
                <w:szCs w:val="18"/>
              </w:rPr>
              <w:t xml:space="preserve"> in this order.</w:t>
            </w:r>
          </w:p>
        </w:tc>
      </w:tr>
    </w:tbl>
    <w:p w:rsidR="007A7C44" w:rsidRPr="00733182" w:rsidRDefault="00733182" w:rsidP="00C653DF">
      <w:pPr>
        <w:rPr>
          <w:color w:val="4472C4" w:themeColor="accent1"/>
        </w:rPr>
      </w:pPr>
      <w:bookmarkStart w:id="2" w:name="_Hlk68100919"/>
      <w:r w:rsidRPr="00733182">
        <w:rPr>
          <w:b/>
          <w:color w:val="4472C4" w:themeColor="accent1"/>
        </w:rPr>
        <w:t xml:space="preserve">*Secondary provider codes (D4380S, D4380AS) for Phase 1 evaluations are available during semesters 6 and 7 (Junior </w:t>
      </w:r>
      <w:r w:rsidR="00BD3ABB">
        <w:rPr>
          <w:b/>
          <w:color w:val="4472C4" w:themeColor="accent1"/>
        </w:rPr>
        <w:t>S</w:t>
      </w:r>
      <w:r w:rsidRPr="00733182">
        <w:rPr>
          <w:b/>
          <w:color w:val="4472C4" w:themeColor="accent1"/>
        </w:rPr>
        <w:t xml:space="preserve">ummer and </w:t>
      </w:r>
      <w:r w:rsidR="00BD3ABB">
        <w:rPr>
          <w:b/>
          <w:color w:val="4472C4" w:themeColor="accent1"/>
        </w:rPr>
        <w:t>F</w:t>
      </w:r>
      <w:r w:rsidRPr="00733182">
        <w:rPr>
          <w:b/>
          <w:color w:val="4472C4" w:themeColor="accent1"/>
        </w:rPr>
        <w:t>all). This will provide an opportunity to collaborate with your clinical associate D4 during the initial transition to clinics.</w:t>
      </w:r>
    </w:p>
    <w:p w:rsidR="00733182" w:rsidRDefault="007A7C44" w:rsidP="00C653DF">
      <w:r>
        <w:t>All students should complete a minimum of 1 clinical procedure as primary provider per semester. </w:t>
      </w:r>
    </w:p>
    <w:bookmarkEnd w:id="2"/>
    <w:p w:rsidR="00C653DF" w:rsidRDefault="00C653DF" w:rsidP="00C653DF">
      <w:r>
        <w:br w:type="page"/>
      </w:r>
    </w:p>
    <w:p w:rsidR="007A7C44" w:rsidRPr="001772EA" w:rsidRDefault="007A7C44" w:rsidP="007A7C44">
      <w:pPr>
        <w:pStyle w:val="NormalWeb"/>
        <w:spacing w:before="180" w:beforeAutospacing="0" w:after="180" w:afterAutospacing="0"/>
        <w:rPr>
          <w:rFonts w:ascii="Arial" w:hAnsi="Arial" w:cs="Arial"/>
        </w:rPr>
      </w:pPr>
      <w:bookmarkStart w:id="3" w:name="_Hlk68103022"/>
      <w:bookmarkEnd w:id="1"/>
      <w:r w:rsidRPr="001772EA">
        <w:rPr>
          <w:rFonts w:ascii="Arial" w:hAnsi="Arial" w:cs="Arial"/>
          <w:b/>
          <w:bCs/>
          <w:color w:val="000000"/>
          <w:sz w:val="22"/>
          <w:szCs w:val="22"/>
        </w:rPr>
        <w:lastRenderedPageBreak/>
        <w:t>How many periodontitis cases do I need to treat by graduation?</w:t>
      </w:r>
    </w:p>
    <w:p w:rsidR="007A7C44" w:rsidRPr="000B3CD3" w:rsidRDefault="007A7C44" w:rsidP="007A7C44">
      <w:pPr>
        <w:pStyle w:val="NormalWeb"/>
        <w:spacing w:before="180" w:beforeAutospacing="0" w:after="180" w:afterAutospacing="0"/>
        <w:rPr>
          <w:rFonts w:ascii="Arial" w:hAnsi="Arial" w:cs="Arial"/>
          <w:sz w:val="22"/>
          <w:szCs w:val="22"/>
        </w:rPr>
      </w:pPr>
      <w:r w:rsidRPr="000B3CD3">
        <w:rPr>
          <w:rFonts w:ascii="Arial" w:hAnsi="Arial" w:cs="Arial"/>
          <w:color w:val="000000"/>
          <w:sz w:val="22"/>
          <w:szCs w:val="22"/>
        </w:rPr>
        <w:t xml:space="preserve">Students </w:t>
      </w:r>
      <w:r w:rsidRPr="000B3CD3">
        <w:rPr>
          <w:rFonts w:ascii="Arial" w:hAnsi="Arial" w:cs="Arial"/>
          <w:color w:val="000000"/>
          <w:sz w:val="22"/>
          <w:szCs w:val="22"/>
          <w:u w:val="single"/>
        </w:rPr>
        <w:t>must complete</w:t>
      </w:r>
      <w:r w:rsidRPr="000B3CD3">
        <w:rPr>
          <w:rFonts w:ascii="Arial" w:hAnsi="Arial" w:cs="Arial"/>
          <w:color w:val="000000"/>
          <w:sz w:val="22"/>
          <w:szCs w:val="22"/>
        </w:rPr>
        <w:t>:</w:t>
      </w:r>
    </w:p>
    <w:p w:rsidR="007A7C44" w:rsidRPr="000B3CD3" w:rsidRDefault="007A7C44" w:rsidP="007A7C44">
      <w:pPr>
        <w:pStyle w:val="NormalWeb"/>
        <w:numPr>
          <w:ilvl w:val="0"/>
          <w:numId w:val="4"/>
        </w:numPr>
        <w:spacing w:before="180" w:beforeAutospacing="0" w:after="0" w:afterAutospacing="0"/>
        <w:textAlignment w:val="baseline"/>
        <w:rPr>
          <w:rFonts w:ascii="Arial" w:hAnsi="Arial" w:cs="Arial"/>
          <w:color w:val="000000"/>
          <w:sz w:val="22"/>
          <w:szCs w:val="22"/>
        </w:rPr>
      </w:pPr>
      <w:r w:rsidRPr="000B3CD3">
        <w:rPr>
          <w:rFonts w:ascii="Arial" w:hAnsi="Arial" w:cs="Arial"/>
          <w:color w:val="000000"/>
          <w:sz w:val="22"/>
          <w:szCs w:val="22"/>
        </w:rPr>
        <w:t xml:space="preserve">A minimum of </w:t>
      </w:r>
      <w:r w:rsidRPr="000B3CD3">
        <w:rPr>
          <w:rFonts w:ascii="Arial" w:hAnsi="Arial" w:cs="Arial"/>
          <w:color w:val="000000"/>
          <w:sz w:val="22"/>
          <w:szCs w:val="22"/>
          <w:u w:val="single"/>
        </w:rPr>
        <w:t xml:space="preserve">10 SRP appointments </w:t>
      </w:r>
      <w:r w:rsidRPr="000B3CD3">
        <w:rPr>
          <w:rFonts w:ascii="Arial" w:hAnsi="Arial" w:cs="Arial"/>
          <w:color w:val="000000"/>
          <w:sz w:val="22"/>
          <w:szCs w:val="22"/>
        </w:rPr>
        <w:t>(D4341/4342)</w:t>
      </w:r>
    </w:p>
    <w:p w:rsidR="007A7C44" w:rsidRPr="000B3CD3" w:rsidRDefault="007A7C44" w:rsidP="007A7C44">
      <w:pPr>
        <w:pStyle w:val="NormalWeb"/>
        <w:numPr>
          <w:ilvl w:val="0"/>
          <w:numId w:val="4"/>
        </w:numPr>
        <w:spacing w:before="0" w:beforeAutospacing="0" w:after="0" w:afterAutospacing="0"/>
        <w:textAlignment w:val="baseline"/>
        <w:rPr>
          <w:rFonts w:ascii="Arial" w:hAnsi="Arial" w:cs="Arial"/>
          <w:color w:val="000000"/>
          <w:sz w:val="22"/>
          <w:szCs w:val="22"/>
        </w:rPr>
      </w:pPr>
      <w:r w:rsidRPr="000B3CD3">
        <w:rPr>
          <w:rFonts w:ascii="Arial" w:hAnsi="Arial" w:cs="Arial"/>
          <w:color w:val="000000"/>
          <w:sz w:val="22"/>
          <w:szCs w:val="22"/>
        </w:rPr>
        <w:t xml:space="preserve">A minimum of </w:t>
      </w:r>
      <w:r w:rsidRPr="000B3CD3">
        <w:rPr>
          <w:rFonts w:ascii="Arial" w:hAnsi="Arial" w:cs="Arial"/>
          <w:color w:val="000000"/>
          <w:sz w:val="22"/>
          <w:szCs w:val="22"/>
          <w:u w:val="single"/>
        </w:rPr>
        <w:t>9 cumulative Phase-I Evaluations (D4380, D4380A, D4380S, D4380AS).</w:t>
      </w:r>
      <w:r w:rsidRPr="000B3CD3">
        <w:rPr>
          <w:rFonts w:ascii="Arial" w:hAnsi="Arial" w:cs="Arial"/>
          <w:color w:val="000000"/>
          <w:sz w:val="22"/>
          <w:szCs w:val="22"/>
        </w:rPr>
        <w:t xml:space="preserve"> </w:t>
      </w:r>
    </w:p>
    <w:p w:rsidR="00FD2926" w:rsidRPr="000B3CD3" w:rsidRDefault="00FD2926" w:rsidP="00FD2926">
      <w:pPr>
        <w:pStyle w:val="ListParagraph"/>
        <w:numPr>
          <w:ilvl w:val="1"/>
          <w:numId w:val="4"/>
        </w:numPr>
        <w:rPr>
          <w:rFonts w:ascii="Arial" w:eastAsia="Times New Roman" w:hAnsi="Arial" w:cs="Arial"/>
        </w:rPr>
      </w:pPr>
      <w:r w:rsidRPr="000B3CD3">
        <w:rPr>
          <w:rFonts w:ascii="Arial" w:eastAsia="Times New Roman" w:hAnsi="Arial" w:cs="Arial"/>
        </w:rPr>
        <w:t>Students are allowed to collaborate on Phase I evaluation cases with classmates and receive credit for them (as primary and secondary providers). In order to receive credit, both students should: 1) be familiar with the case, medical history and dental history; 2) participate in gathering clinical measurements; 3) be able to discuss the findings and need for further treatment. Both students must be present from start check to final check of the appointment.</w:t>
      </w:r>
    </w:p>
    <w:p w:rsidR="00FD2926" w:rsidRPr="000B3CD3" w:rsidRDefault="00FD2926" w:rsidP="00FD2926">
      <w:pPr>
        <w:pStyle w:val="ListParagraph"/>
        <w:numPr>
          <w:ilvl w:val="1"/>
          <w:numId w:val="4"/>
        </w:numPr>
        <w:rPr>
          <w:rFonts w:ascii="Arial" w:eastAsia="Times New Roman" w:hAnsi="Arial" w:cs="Arial"/>
        </w:rPr>
      </w:pPr>
      <w:r w:rsidRPr="000B3CD3">
        <w:rPr>
          <w:rFonts w:ascii="Arial" w:eastAsia="Times New Roman" w:hAnsi="Arial" w:cs="Arial"/>
        </w:rPr>
        <w:t xml:space="preserve">Codes to be used in this situation: D4380/D4380A for the primary provider and D4380S/D4380AS for the secondary provider who is collaborating on the case. </w:t>
      </w:r>
    </w:p>
    <w:p w:rsidR="00FD2926" w:rsidRPr="000B3CD3" w:rsidRDefault="00FD2926" w:rsidP="00FD2926">
      <w:pPr>
        <w:pStyle w:val="ListParagraph"/>
        <w:numPr>
          <w:ilvl w:val="1"/>
          <w:numId w:val="4"/>
        </w:numPr>
        <w:rPr>
          <w:rFonts w:ascii="Arial" w:eastAsia="Times New Roman" w:hAnsi="Arial" w:cs="Arial"/>
        </w:rPr>
      </w:pPr>
      <w:r w:rsidRPr="000B3CD3">
        <w:rPr>
          <w:rFonts w:ascii="Arial" w:eastAsia="Times New Roman" w:hAnsi="Arial" w:cs="Arial"/>
        </w:rPr>
        <w:t xml:space="preserve">Out of the 9 total Phase I evaluations that should be completed by end of senior fall semester, 4 should be performed on a complex case. </w:t>
      </w:r>
    </w:p>
    <w:p w:rsidR="000B3CD3" w:rsidRPr="000B3CD3" w:rsidRDefault="00FD2926" w:rsidP="0037543E">
      <w:pPr>
        <w:pStyle w:val="ListParagraph"/>
        <w:numPr>
          <w:ilvl w:val="0"/>
          <w:numId w:val="5"/>
        </w:numPr>
        <w:spacing w:before="180" w:after="180"/>
        <w:textAlignment w:val="baseline"/>
        <w:rPr>
          <w:rFonts w:ascii="Arial" w:hAnsi="Arial" w:cs="Arial"/>
          <w:color w:val="000000"/>
        </w:rPr>
      </w:pPr>
      <w:r w:rsidRPr="000B3CD3">
        <w:rPr>
          <w:rFonts w:ascii="Arial" w:eastAsia="Times New Roman" w:hAnsi="Arial" w:cs="Arial"/>
        </w:rPr>
        <w:t xml:space="preserve">At least 5 of the 9 cases should be performed on a patient you have provided with initial therapy (scaling and root </w:t>
      </w:r>
      <w:proofErr w:type="spellStart"/>
      <w:r w:rsidRPr="000B3CD3">
        <w:rPr>
          <w:rFonts w:ascii="Arial" w:eastAsia="Times New Roman" w:hAnsi="Arial" w:cs="Arial"/>
        </w:rPr>
        <w:t>planing</w:t>
      </w:r>
      <w:proofErr w:type="spellEnd"/>
      <w:r w:rsidRPr="000B3CD3">
        <w:rPr>
          <w:rFonts w:ascii="Arial" w:eastAsia="Times New Roman" w:hAnsi="Arial" w:cs="Arial"/>
        </w:rPr>
        <w:t xml:space="preserve">). </w:t>
      </w:r>
    </w:p>
    <w:p w:rsidR="007A7C44" w:rsidRPr="000B3CD3" w:rsidRDefault="007A7C44" w:rsidP="000B3CD3">
      <w:pPr>
        <w:pStyle w:val="ListParagraph"/>
        <w:numPr>
          <w:ilvl w:val="0"/>
          <w:numId w:val="8"/>
        </w:numPr>
        <w:spacing w:before="180" w:after="180"/>
        <w:textAlignment w:val="baseline"/>
        <w:rPr>
          <w:rFonts w:ascii="Arial" w:hAnsi="Arial" w:cs="Arial"/>
          <w:color w:val="000000"/>
        </w:rPr>
      </w:pPr>
      <w:r w:rsidRPr="000B3CD3">
        <w:rPr>
          <w:rFonts w:ascii="Arial" w:hAnsi="Arial" w:cs="Arial"/>
          <w:color w:val="000000"/>
        </w:rPr>
        <w:t xml:space="preserve">A minimum of </w:t>
      </w:r>
      <w:r w:rsidRPr="000B3CD3">
        <w:rPr>
          <w:rFonts w:ascii="Arial" w:hAnsi="Arial" w:cs="Arial"/>
          <w:color w:val="000000"/>
          <w:u w:val="single"/>
        </w:rPr>
        <w:t>10 total SPT appointments</w:t>
      </w:r>
      <w:r w:rsidRPr="000B3CD3">
        <w:rPr>
          <w:rFonts w:ascii="Arial" w:hAnsi="Arial" w:cs="Arial"/>
          <w:color w:val="000000"/>
        </w:rPr>
        <w:t xml:space="preserve"> (Periodontal maintenance, 4910/4910RC)</w:t>
      </w:r>
      <w:r w:rsidR="00BD3ABB">
        <w:rPr>
          <w:rFonts w:ascii="Arial" w:hAnsi="Arial" w:cs="Arial"/>
          <w:color w:val="000000"/>
        </w:rPr>
        <w:t>.</w:t>
      </w:r>
      <w:r w:rsidR="000B3CD3" w:rsidRPr="000B3CD3">
        <w:rPr>
          <w:rFonts w:ascii="Arial" w:hAnsi="Arial" w:cs="Arial"/>
          <w:color w:val="000000"/>
        </w:rPr>
        <w:t xml:space="preserve"> </w:t>
      </w:r>
      <w:r w:rsidRPr="000B3CD3">
        <w:rPr>
          <w:rFonts w:ascii="Arial" w:hAnsi="Arial" w:cs="Arial"/>
          <w:color w:val="000000"/>
        </w:rPr>
        <w:t xml:space="preserve">Students are expected to perform at least the </w:t>
      </w:r>
      <w:r w:rsidRPr="000B3CD3">
        <w:rPr>
          <w:rFonts w:ascii="Arial" w:hAnsi="Arial" w:cs="Arial"/>
          <w:color w:val="000000"/>
          <w:u w:val="single"/>
        </w:rPr>
        <w:t>first 2 maintenance visits for any patient for whom they have performed the Phase I re-evaluation</w:t>
      </w:r>
      <w:r w:rsidRPr="000B3CD3">
        <w:rPr>
          <w:rFonts w:ascii="Arial" w:hAnsi="Arial" w:cs="Arial"/>
          <w:color w:val="000000"/>
        </w:rPr>
        <w:t>.</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color w:val="000000"/>
          <w:sz w:val="22"/>
          <w:szCs w:val="22"/>
        </w:rPr>
        <w:t>It is recommended that you aim to complete these requirements by the end of Senior Fall semester, so that Spring semester is available for students to complete any remediation/remaining assigned treatment and to arrange ongoing care for your patients. This will allow you to be certified for Graduation.</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b/>
          <w:bCs/>
          <w:color w:val="000000"/>
          <w:sz w:val="22"/>
          <w:szCs w:val="22"/>
        </w:rPr>
        <w:t>What is a complex case?</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color w:val="000000"/>
          <w:sz w:val="22"/>
          <w:szCs w:val="22"/>
        </w:rPr>
        <w:t>The requirements for a complex case are:          </w:t>
      </w:r>
    </w:p>
    <w:p w:rsidR="007A7C44" w:rsidRPr="001772EA" w:rsidRDefault="007A7C44" w:rsidP="007A7C44">
      <w:pPr>
        <w:pStyle w:val="NormalWeb"/>
        <w:numPr>
          <w:ilvl w:val="0"/>
          <w:numId w:val="6"/>
        </w:numPr>
        <w:spacing w:before="18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Adult dentition</w:t>
      </w:r>
    </w:p>
    <w:p w:rsidR="007A7C44" w:rsidRPr="001772EA" w:rsidRDefault="007A7C44" w:rsidP="007A7C44">
      <w:pPr>
        <w:pStyle w:val="NormalWeb"/>
        <w:numPr>
          <w:ilvl w:val="0"/>
          <w:numId w:val="6"/>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Minimum 10 teeth</w:t>
      </w:r>
    </w:p>
    <w:p w:rsidR="007A7C44" w:rsidRPr="001772EA" w:rsidRDefault="007A7C44" w:rsidP="007A7C44">
      <w:pPr>
        <w:pStyle w:val="NormalWeb"/>
        <w:numPr>
          <w:ilvl w:val="0"/>
          <w:numId w:val="6"/>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Probing depth ≥4mm on at least 5 teeth</w:t>
      </w:r>
    </w:p>
    <w:p w:rsidR="007A7C44" w:rsidRPr="001772EA" w:rsidRDefault="007A7C44" w:rsidP="007A7C44">
      <w:pPr>
        <w:pStyle w:val="NormalWeb"/>
        <w:numPr>
          <w:ilvl w:val="0"/>
          <w:numId w:val="6"/>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Radiographic evidence of at least 20% bone loss</w:t>
      </w:r>
    </w:p>
    <w:p w:rsidR="007A7C44" w:rsidRPr="001772EA" w:rsidRDefault="007A7C44" w:rsidP="007A7C44">
      <w:pPr>
        <w:pStyle w:val="NormalWeb"/>
        <w:numPr>
          <w:ilvl w:val="0"/>
          <w:numId w:val="6"/>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Minimum of one molar tooth with furcation involvement</w:t>
      </w:r>
    </w:p>
    <w:p w:rsidR="007A7C44" w:rsidRPr="001772EA" w:rsidRDefault="007A7C44" w:rsidP="007A7C44">
      <w:pPr>
        <w:pStyle w:val="NormalWeb"/>
        <w:numPr>
          <w:ilvl w:val="0"/>
          <w:numId w:val="6"/>
        </w:numPr>
        <w:spacing w:before="0" w:beforeAutospacing="0" w:after="180" w:afterAutospacing="0"/>
        <w:textAlignment w:val="baseline"/>
        <w:rPr>
          <w:rFonts w:ascii="Arial" w:hAnsi="Arial" w:cs="Arial"/>
          <w:color w:val="000000"/>
          <w:sz w:val="22"/>
          <w:szCs w:val="22"/>
        </w:rPr>
      </w:pPr>
      <w:r w:rsidRPr="001772EA">
        <w:rPr>
          <w:rFonts w:ascii="Arial" w:hAnsi="Arial" w:cs="Arial"/>
          <w:color w:val="000000"/>
          <w:sz w:val="22"/>
          <w:szCs w:val="22"/>
        </w:rPr>
        <w:t>Clinically detectable subgingival calculus </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b/>
          <w:bCs/>
          <w:color w:val="000000"/>
          <w:sz w:val="22"/>
          <w:szCs w:val="22"/>
        </w:rPr>
        <w:t xml:space="preserve">What is a simple case? -  </w:t>
      </w:r>
      <w:r w:rsidRPr="001772EA">
        <w:rPr>
          <w:rFonts w:ascii="Arial" w:hAnsi="Arial" w:cs="Arial"/>
          <w:color w:val="000000"/>
          <w:sz w:val="22"/>
          <w:szCs w:val="22"/>
        </w:rPr>
        <w:t>All periodontitis cases that do not meet the aforementioned classification criteria (Complex). </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b/>
          <w:bCs/>
          <w:color w:val="000000"/>
          <w:sz w:val="22"/>
          <w:szCs w:val="22"/>
          <w:u w:val="single"/>
        </w:rPr>
        <w:t>*Students who are more than 2 cases behind the recommended number of completions at any deadline date will receive a Notification of Progress letter from the department regarding lack of clinical progress and will be eligible to obtain a maximum C grade for that semester.</w:t>
      </w:r>
      <w:r w:rsidRPr="001772EA">
        <w:rPr>
          <w:rFonts w:ascii="Arial" w:hAnsi="Arial" w:cs="Arial"/>
          <w:color w:val="000000"/>
          <w:sz w:val="22"/>
          <w:szCs w:val="22"/>
        </w:rPr>
        <w:t> </w:t>
      </w:r>
      <w:bookmarkEnd w:id="3"/>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b/>
          <w:bCs/>
          <w:color w:val="000000"/>
          <w:sz w:val="22"/>
          <w:szCs w:val="22"/>
        </w:rPr>
        <w:t>What else do I have to do prior to graduation?</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color w:val="000000"/>
          <w:sz w:val="22"/>
          <w:szCs w:val="22"/>
        </w:rPr>
        <w:t xml:space="preserve">Successfully pass all Clinical </w:t>
      </w:r>
      <w:r w:rsidR="00BD3ABB">
        <w:rPr>
          <w:rFonts w:ascii="Arial" w:hAnsi="Arial" w:cs="Arial"/>
          <w:color w:val="000000"/>
          <w:sz w:val="22"/>
          <w:szCs w:val="22"/>
        </w:rPr>
        <w:t>S</w:t>
      </w:r>
      <w:r w:rsidRPr="001772EA">
        <w:rPr>
          <w:rFonts w:ascii="Arial" w:hAnsi="Arial" w:cs="Arial"/>
          <w:color w:val="000000"/>
          <w:sz w:val="22"/>
          <w:szCs w:val="22"/>
        </w:rPr>
        <w:t xml:space="preserve">kills </w:t>
      </w:r>
      <w:r w:rsidR="00BD3ABB">
        <w:rPr>
          <w:rFonts w:ascii="Arial" w:hAnsi="Arial" w:cs="Arial"/>
          <w:color w:val="000000"/>
          <w:sz w:val="22"/>
          <w:szCs w:val="22"/>
        </w:rPr>
        <w:t>A</w:t>
      </w:r>
      <w:r w:rsidRPr="001772EA">
        <w:rPr>
          <w:rFonts w:ascii="Arial" w:hAnsi="Arial" w:cs="Arial"/>
          <w:color w:val="000000"/>
          <w:sz w:val="22"/>
          <w:szCs w:val="22"/>
        </w:rPr>
        <w:t xml:space="preserve">ssessments and </w:t>
      </w:r>
      <w:r w:rsidR="00BD3ABB">
        <w:rPr>
          <w:rFonts w:ascii="Arial" w:hAnsi="Arial" w:cs="Arial"/>
          <w:color w:val="000000"/>
          <w:sz w:val="22"/>
          <w:szCs w:val="22"/>
        </w:rPr>
        <w:t>C</w:t>
      </w:r>
      <w:r w:rsidRPr="001772EA">
        <w:rPr>
          <w:rFonts w:ascii="Arial" w:hAnsi="Arial" w:cs="Arial"/>
          <w:color w:val="000000"/>
          <w:sz w:val="22"/>
          <w:szCs w:val="22"/>
        </w:rPr>
        <w:t>ompetency examinations.</w:t>
      </w:r>
    </w:p>
    <w:p w:rsidR="007A7C44" w:rsidRPr="001772EA" w:rsidRDefault="007A7C44" w:rsidP="007A7C44">
      <w:pPr>
        <w:pStyle w:val="NormalWeb"/>
        <w:spacing w:before="180" w:beforeAutospacing="0" w:after="180" w:afterAutospacing="0"/>
        <w:rPr>
          <w:rFonts w:ascii="Arial" w:hAnsi="Arial" w:cs="Arial"/>
          <w:bCs/>
          <w:iCs/>
          <w:color w:val="FF0000"/>
          <w:sz w:val="22"/>
          <w:szCs w:val="22"/>
        </w:rPr>
      </w:pPr>
      <w:r w:rsidRPr="001772EA">
        <w:rPr>
          <w:rFonts w:ascii="Arial" w:hAnsi="Arial" w:cs="Arial"/>
          <w:b/>
          <w:i/>
          <w:iCs/>
          <w:color w:val="000000"/>
          <w:sz w:val="22"/>
          <w:szCs w:val="22"/>
        </w:rPr>
        <w:t>Note:</w:t>
      </w:r>
      <w:r w:rsidRPr="001772EA">
        <w:rPr>
          <w:rFonts w:ascii="Arial" w:hAnsi="Arial" w:cs="Arial"/>
          <w:i/>
          <w:iCs/>
          <w:color w:val="000000"/>
          <w:sz w:val="22"/>
          <w:szCs w:val="22"/>
        </w:rPr>
        <w:t xml:space="preserve"> </w:t>
      </w:r>
      <w:r w:rsidRPr="001772EA">
        <w:rPr>
          <w:rFonts w:ascii="Arial" w:hAnsi="Arial" w:cs="Arial"/>
          <w:bCs/>
          <w:i/>
          <w:iCs/>
          <w:color w:val="000000"/>
          <w:sz w:val="22"/>
          <w:szCs w:val="22"/>
        </w:rPr>
        <w:t xml:space="preserve">The </w:t>
      </w:r>
      <w:r w:rsidR="00684299">
        <w:rPr>
          <w:rFonts w:ascii="Arial" w:hAnsi="Arial" w:cs="Arial"/>
          <w:bCs/>
          <w:i/>
          <w:iCs/>
          <w:color w:val="000000"/>
          <w:sz w:val="22"/>
          <w:szCs w:val="22"/>
        </w:rPr>
        <w:t>S</w:t>
      </w:r>
      <w:r w:rsidRPr="001772EA">
        <w:rPr>
          <w:rFonts w:ascii="Arial" w:hAnsi="Arial" w:cs="Arial"/>
          <w:bCs/>
          <w:i/>
          <w:iCs/>
          <w:color w:val="000000"/>
          <w:sz w:val="22"/>
          <w:szCs w:val="22"/>
        </w:rPr>
        <w:t xml:space="preserve">kills </w:t>
      </w:r>
      <w:r w:rsidR="00684299">
        <w:rPr>
          <w:rFonts w:ascii="Arial" w:hAnsi="Arial" w:cs="Arial"/>
          <w:bCs/>
          <w:i/>
          <w:iCs/>
          <w:color w:val="000000"/>
          <w:sz w:val="22"/>
          <w:szCs w:val="22"/>
        </w:rPr>
        <w:t>A</w:t>
      </w:r>
      <w:r w:rsidRPr="001772EA">
        <w:rPr>
          <w:rFonts w:ascii="Arial" w:hAnsi="Arial" w:cs="Arial"/>
          <w:bCs/>
          <w:i/>
          <w:iCs/>
          <w:color w:val="000000"/>
          <w:sz w:val="22"/>
          <w:szCs w:val="22"/>
        </w:rPr>
        <w:t>ssessment/</w:t>
      </w:r>
      <w:r w:rsidR="00684299">
        <w:rPr>
          <w:rFonts w:ascii="Arial" w:hAnsi="Arial" w:cs="Arial"/>
          <w:bCs/>
          <w:i/>
          <w:iCs/>
          <w:color w:val="000000"/>
          <w:sz w:val="22"/>
          <w:szCs w:val="22"/>
        </w:rPr>
        <w:t>C</w:t>
      </w:r>
      <w:r w:rsidRPr="001772EA">
        <w:rPr>
          <w:rFonts w:ascii="Arial" w:hAnsi="Arial" w:cs="Arial"/>
          <w:bCs/>
          <w:i/>
          <w:iCs/>
          <w:color w:val="000000"/>
          <w:sz w:val="22"/>
          <w:szCs w:val="22"/>
        </w:rPr>
        <w:t>ompetencies should be completed in the sequence outlined in this overview and recommended to be completed at the semester assigned.</w:t>
      </w:r>
      <w:r w:rsidRPr="001772EA">
        <w:rPr>
          <w:rFonts w:ascii="Arial" w:hAnsi="Arial" w:cs="Arial"/>
          <w:b/>
          <w:bCs/>
          <w:i/>
          <w:iCs/>
          <w:color w:val="000000"/>
          <w:sz w:val="22"/>
          <w:szCs w:val="22"/>
        </w:rPr>
        <w:t xml:space="preserve"> </w:t>
      </w:r>
    </w:p>
    <w:p w:rsidR="007A7C44" w:rsidRPr="001772EA" w:rsidRDefault="007A7C44" w:rsidP="007A7C44">
      <w:pPr>
        <w:pStyle w:val="NormalWeb"/>
        <w:spacing w:before="180" w:beforeAutospacing="0" w:after="180" w:afterAutospacing="0"/>
        <w:rPr>
          <w:rFonts w:ascii="Arial" w:hAnsi="Arial" w:cs="Arial"/>
        </w:rPr>
      </w:pPr>
      <w:r w:rsidRPr="001772EA">
        <w:rPr>
          <w:rFonts w:ascii="Arial" w:hAnsi="Arial" w:cs="Arial"/>
          <w:color w:val="000000"/>
          <w:sz w:val="22"/>
          <w:szCs w:val="22"/>
        </w:rPr>
        <w:lastRenderedPageBreak/>
        <w:t xml:space="preserve">Students must also successfully complete the Periodontal </w:t>
      </w:r>
      <w:r w:rsidRPr="001772EA">
        <w:rPr>
          <w:rFonts w:ascii="Arial" w:hAnsi="Arial" w:cs="Arial"/>
          <w:b/>
          <w:bCs/>
          <w:color w:val="000000"/>
          <w:sz w:val="22"/>
          <w:szCs w:val="22"/>
        </w:rPr>
        <w:t>Mock Board Exams</w:t>
      </w:r>
      <w:r w:rsidRPr="001772EA">
        <w:rPr>
          <w:rFonts w:ascii="Arial" w:hAnsi="Arial" w:cs="Arial"/>
          <w:color w:val="000000"/>
          <w:sz w:val="22"/>
          <w:szCs w:val="22"/>
        </w:rPr>
        <w:t xml:space="preserve"> within the Senior year and complete </w:t>
      </w:r>
      <w:r w:rsidRPr="001772EA">
        <w:rPr>
          <w:rFonts w:ascii="Arial" w:hAnsi="Arial" w:cs="Arial"/>
          <w:b/>
          <w:bCs/>
          <w:color w:val="000000"/>
          <w:sz w:val="22"/>
          <w:szCs w:val="22"/>
        </w:rPr>
        <w:t>the rotation to Graduate Periodontology.</w:t>
      </w:r>
      <w:r w:rsidRPr="001772EA">
        <w:rPr>
          <w:rFonts w:ascii="Arial" w:hAnsi="Arial" w:cs="Arial"/>
          <w:color w:val="000000"/>
          <w:sz w:val="22"/>
          <w:szCs w:val="22"/>
        </w:rPr>
        <w:t> </w:t>
      </w:r>
    </w:p>
    <w:p w:rsidR="007A7C44" w:rsidRPr="001772EA" w:rsidRDefault="007A7C44" w:rsidP="007A7C44">
      <w:pPr>
        <w:pStyle w:val="NormalWeb"/>
        <w:spacing w:before="180" w:beforeAutospacing="0" w:after="180" w:afterAutospacing="0"/>
        <w:rPr>
          <w:rFonts w:ascii="Arial" w:hAnsi="Arial" w:cs="Arial"/>
          <w:b/>
          <w:bCs/>
          <w:color w:val="000000"/>
          <w:sz w:val="22"/>
          <w:szCs w:val="22"/>
        </w:rPr>
      </w:pPr>
      <w:r w:rsidRPr="001772EA">
        <w:rPr>
          <w:rFonts w:ascii="Arial" w:hAnsi="Arial" w:cs="Arial"/>
          <w:b/>
          <w:bCs/>
          <w:color w:val="000000"/>
          <w:sz w:val="22"/>
          <w:szCs w:val="22"/>
        </w:rPr>
        <w:t xml:space="preserve">Note: </w:t>
      </w:r>
      <w:r w:rsidRPr="001772EA">
        <w:rPr>
          <w:rFonts w:ascii="Arial" w:hAnsi="Arial" w:cs="Arial"/>
          <w:bCs/>
          <w:color w:val="000000"/>
          <w:sz w:val="22"/>
          <w:szCs w:val="22"/>
        </w:rPr>
        <w:t>The Rotation to Graduate Periodontology runs throughout semesters 8 - 10, with 2-3 DMD students attending the clinic each week. Students receive RVU credit for completing the rotation at the end of the semester in which they complete the rotation.</w:t>
      </w:r>
    </w:p>
    <w:p w:rsidR="0042795F" w:rsidRDefault="0042795F" w:rsidP="0042795F">
      <w:pPr>
        <w:pStyle w:val="Heading1"/>
        <w:spacing w:before="400" w:beforeAutospacing="0" w:after="120" w:afterAutospacing="0"/>
        <w:rPr>
          <w:rFonts w:ascii="Arial" w:hAnsi="Arial" w:cs="Arial"/>
          <w:b w:val="0"/>
          <w:bCs w:val="0"/>
          <w:color w:val="000000"/>
          <w:sz w:val="40"/>
          <w:szCs w:val="40"/>
        </w:rPr>
      </w:pPr>
      <w:r>
        <w:rPr>
          <w:rFonts w:ascii="Arial" w:hAnsi="Arial" w:cs="Arial"/>
          <w:b w:val="0"/>
          <w:bCs w:val="0"/>
          <w:color w:val="000000"/>
          <w:sz w:val="40"/>
          <w:szCs w:val="40"/>
        </w:rPr>
        <w:t>IV. Course Outline</w:t>
      </w:r>
    </w:p>
    <w:p w:rsidR="001C1336" w:rsidRDefault="001C1336" w:rsidP="007A7C44">
      <w:pPr>
        <w:pStyle w:val="NormalWeb"/>
        <w:spacing w:before="0" w:beforeAutospacing="0" w:after="0" w:afterAutospacing="0"/>
        <w:rPr>
          <w:rFonts w:ascii="Arial" w:hAnsi="Arial" w:cs="Arial"/>
          <w:b/>
          <w:bCs/>
          <w:color w:val="000000"/>
          <w:sz w:val="22"/>
          <w:szCs w:val="22"/>
        </w:rPr>
      </w:pPr>
    </w:p>
    <w:p w:rsidR="007A7C44" w:rsidRDefault="007A7C44" w:rsidP="007A7C44">
      <w:pPr>
        <w:pStyle w:val="NormalWeb"/>
        <w:spacing w:before="0" w:beforeAutospacing="0" w:after="0" w:afterAutospacing="0"/>
      </w:pPr>
      <w:r>
        <w:rPr>
          <w:rFonts w:ascii="Arial" w:hAnsi="Arial" w:cs="Arial"/>
          <w:b/>
          <w:bCs/>
          <w:color w:val="000000"/>
          <w:sz w:val="22"/>
          <w:szCs w:val="22"/>
        </w:rPr>
        <w:t xml:space="preserve">Semester </w:t>
      </w:r>
      <w:r w:rsidR="00684299">
        <w:rPr>
          <w:rFonts w:ascii="Arial" w:hAnsi="Arial" w:cs="Arial"/>
          <w:b/>
          <w:bCs/>
          <w:color w:val="000000"/>
          <w:sz w:val="22"/>
          <w:szCs w:val="22"/>
        </w:rPr>
        <w:t>7</w:t>
      </w:r>
      <w:r>
        <w:rPr>
          <w:rFonts w:ascii="Arial" w:hAnsi="Arial" w:cs="Arial"/>
          <w:b/>
          <w:bCs/>
          <w:color w:val="000000"/>
          <w:sz w:val="22"/>
          <w:szCs w:val="22"/>
        </w:rPr>
        <w:t xml:space="preserve"> (Jun</w:t>
      </w:r>
      <w:r w:rsidR="0084603D">
        <w:rPr>
          <w:rFonts w:ascii="Arial" w:hAnsi="Arial" w:cs="Arial"/>
          <w:b/>
          <w:bCs/>
          <w:color w:val="000000"/>
          <w:sz w:val="22"/>
          <w:szCs w:val="22"/>
        </w:rPr>
        <w:t>ior</w:t>
      </w:r>
      <w:r>
        <w:rPr>
          <w:rFonts w:ascii="Arial" w:hAnsi="Arial" w:cs="Arial"/>
          <w:b/>
          <w:bCs/>
          <w:color w:val="000000"/>
          <w:sz w:val="22"/>
          <w:szCs w:val="22"/>
        </w:rPr>
        <w:t xml:space="preserve"> </w:t>
      </w:r>
      <w:r w:rsidR="0084603D">
        <w:rPr>
          <w:rFonts w:ascii="Arial" w:hAnsi="Arial" w:cs="Arial"/>
          <w:b/>
          <w:bCs/>
          <w:color w:val="000000"/>
          <w:sz w:val="22"/>
          <w:szCs w:val="22"/>
        </w:rPr>
        <w:t>Fall</w:t>
      </w:r>
      <w:r>
        <w:rPr>
          <w:rFonts w:ascii="Arial" w:hAnsi="Arial" w:cs="Arial"/>
          <w:b/>
          <w:bCs/>
          <w:color w:val="000000"/>
          <w:sz w:val="22"/>
          <w:szCs w:val="22"/>
        </w:rPr>
        <w:t>)</w:t>
      </w:r>
    </w:p>
    <w:p w:rsidR="001C1336" w:rsidRDefault="001C1336" w:rsidP="007A7C44">
      <w:pPr>
        <w:pStyle w:val="NormalWeb"/>
        <w:spacing w:before="0" w:beforeAutospacing="0" w:after="0" w:afterAutospacing="0"/>
        <w:rPr>
          <w:rFonts w:ascii="Arial" w:hAnsi="Arial" w:cs="Arial"/>
          <w:color w:val="000000"/>
          <w:sz w:val="22"/>
          <w:szCs w:val="22"/>
        </w:rPr>
      </w:pPr>
    </w:p>
    <w:p w:rsidR="007A7C44" w:rsidRDefault="0084603D" w:rsidP="007A7C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semester you should </w:t>
      </w:r>
      <w:r w:rsidR="004108D6">
        <w:rPr>
          <w:rFonts w:ascii="Arial" w:hAnsi="Arial" w:cs="Arial"/>
          <w:color w:val="000000"/>
          <w:sz w:val="22"/>
          <w:szCs w:val="22"/>
        </w:rPr>
        <w:t xml:space="preserve">submit your </w:t>
      </w:r>
      <w:r w:rsidR="004108D6" w:rsidRPr="004108D6">
        <w:rPr>
          <w:rFonts w:ascii="Arial" w:hAnsi="Arial" w:cs="Arial"/>
          <w:color w:val="000000"/>
          <w:sz w:val="22"/>
          <w:szCs w:val="22"/>
          <w:u w:val="single"/>
        </w:rPr>
        <w:t>Midterm Progress</w:t>
      </w:r>
      <w:r w:rsidR="004108D6">
        <w:rPr>
          <w:rFonts w:ascii="Arial" w:hAnsi="Arial" w:cs="Arial"/>
          <w:color w:val="000000"/>
          <w:sz w:val="22"/>
          <w:szCs w:val="22"/>
        </w:rPr>
        <w:t xml:space="preserve"> assignment and complete the</w:t>
      </w:r>
      <w:r>
        <w:rPr>
          <w:rFonts w:ascii="Arial" w:hAnsi="Arial" w:cs="Arial"/>
          <w:color w:val="000000"/>
          <w:sz w:val="22"/>
          <w:szCs w:val="22"/>
        </w:rPr>
        <w:t xml:space="preserve"> </w:t>
      </w:r>
      <w:r w:rsidRPr="0084603D">
        <w:rPr>
          <w:rFonts w:ascii="Arial" w:hAnsi="Arial" w:cs="Arial"/>
          <w:color w:val="000000"/>
          <w:sz w:val="22"/>
          <w:szCs w:val="22"/>
          <w:u w:val="single"/>
        </w:rPr>
        <w:t>Calculus Detection and Removal Skills Assessment</w:t>
      </w:r>
      <w:r w:rsidR="004108D6">
        <w:rPr>
          <w:rFonts w:ascii="Arial" w:hAnsi="Arial" w:cs="Arial"/>
          <w:color w:val="000000"/>
          <w:sz w:val="22"/>
          <w:szCs w:val="22"/>
        </w:rPr>
        <w:t>.</w:t>
      </w:r>
      <w:r>
        <w:rPr>
          <w:rFonts w:ascii="Arial" w:hAnsi="Arial" w:cs="Arial"/>
          <w:color w:val="000000"/>
          <w:sz w:val="22"/>
          <w:szCs w:val="22"/>
        </w:rPr>
        <w:t xml:space="preserve"> </w:t>
      </w:r>
    </w:p>
    <w:p w:rsidR="0084603D" w:rsidRDefault="0084603D" w:rsidP="007A7C44">
      <w:pPr>
        <w:pStyle w:val="NormalWeb"/>
        <w:spacing w:before="0" w:beforeAutospacing="0" w:after="0" w:afterAutospacing="0"/>
        <w:rPr>
          <w:rFonts w:ascii="Arial" w:hAnsi="Arial" w:cs="Arial"/>
          <w:color w:val="000000"/>
          <w:sz w:val="22"/>
          <w:szCs w:val="22"/>
        </w:rPr>
      </w:pPr>
    </w:p>
    <w:p w:rsidR="007A7C44" w:rsidRPr="00270BCE" w:rsidRDefault="007A7C44" w:rsidP="004108D6">
      <w:pPr>
        <w:pStyle w:val="NormalWeb"/>
        <w:numPr>
          <w:ilvl w:val="0"/>
          <w:numId w:val="12"/>
        </w:numPr>
        <w:spacing w:before="180" w:beforeAutospacing="0" w:after="0" w:afterAutospacing="0"/>
        <w:rPr>
          <w:rFonts w:ascii="Arial" w:hAnsi="Arial" w:cs="Arial"/>
          <w:b/>
          <w:sz w:val="22"/>
          <w:szCs w:val="22"/>
        </w:rPr>
      </w:pPr>
      <w:r w:rsidRPr="00270BCE">
        <w:rPr>
          <w:rFonts w:ascii="Arial" w:hAnsi="Arial" w:cs="Arial"/>
          <w:b/>
          <w:sz w:val="22"/>
          <w:szCs w:val="22"/>
        </w:rPr>
        <w:t>Midterm Progress</w:t>
      </w:r>
    </w:p>
    <w:p w:rsidR="007A7C44" w:rsidRDefault="007A7C44" w:rsidP="007A7C44">
      <w:pPr>
        <w:pStyle w:val="NormalWeb"/>
        <w:spacing w:before="180" w:beforeAutospacing="0" w:after="180" w:afterAutospacing="0"/>
        <w:rPr>
          <w:rFonts w:ascii="Arial" w:hAnsi="Arial" w:cs="Arial"/>
          <w:sz w:val="22"/>
          <w:szCs w:val="22"/>
        </w:rPr>
      </w:pPr>
      <w:r w:rsidRPr="00270BCE">
        <w:rPr>
          <w:rFonts w:ascii="Arial" w:hAnsi="Arial" w:cs="Arial"/>
          <w:sz w:val="22"/>
          <w:szCs w:val="22"/>
        </w:rPr>
        <w:t xml:space="preserve">To help monitor your progress in </w:t>
      </w:r>
      <w:proofErr w:type="spellStart"/>
      <w:r w:rsidRPr="00270BCE">
        <w:rPr>
          <w:rFonts w:ascii="Arial" w:hAnsi="Arial" w:cs="Arial"/>
          <w:sz w:val="22"/>
          <w:szCs w:val="22"/>
        </w:rPr>
        <w:t>Perio</w:t>
      </w:r>
      <w:proofErr w:type="spellEnd"/>
      <w:r w:rsidRPr="00270BCE">
        <w:rPr>
          <w:rFonts w:ascii="Arial" w:hAnsi="Arial" w:cs="Arial"/>
          <w:sz w:val="22"/>
          <w:szCs w:val="22"/>
        </w:rPr>
        <w:t xml:space="preserve">, a midterm progress assignment stating your plans towards completing your competencies and other requirements will be assigned for completion mid semester. Assignments of additional cases may be hindered if the form is not completed by </w:t>
      </w:r>
      <w:r w:rsidRPr="001C1336">
        <w:rPr>
          <w:rFonts w:ascii="Arial" w:hAnsi="Arial" w:cs="Arial"/>
          <w:sz w:val="22"/>
          <w:szCs w:val="22"/>
        </w:rPr>
        <w:t>the due date in Canvas.</w:t>
      </w:r>
    </w:p>
    <w:p w:rsidR="001C1336" w:rsidRPr="001C1336" w:rsidRDefault="001C1336" w:rsidP="007A7C44">
      <w:pPr>
        <w:pStyle w:val="NormalWeb"/>
        <w:spacing w:before="180" w:beforeAutospacing="0" w:after="180" w:afterAutospacing="0"/>
        <w:rPr>
          <w:rFonts w:ascii="Arial" w:hAnsi="Arial" w:cs="Arial"/>
          <w:sz w:val="6"/>
          <w:szCs w:val="22"/>
        </w:rPr>
      </w:pPr>
    </w:p>
    <w:p w:rsidR="0084603D" w:rsidRPr="004108D6" w:rsidRDefault="001C1336" w:rsidP="004108D6">
      <w:pPr>
        <w:pStyle w:val="NormalWeb"/>
        <w:numPr>
          <w:ilvl w:val="0"/>
          <w:numId w:val="12"/>
        </w:numPr>
        <w:spacing w:before="180" w:beforeAutospacing="0" w:after="0" w:afterAutospacing="0"/>
        <w:rPr>
          <w:rFonts w:ascii="Arial" w:hAnsi="Arial" w:cs="Arial"/>
          <w:b/>
          <w:sz w:val="22"/>
          <w:szCs w:val="22"/>
        </w:rPr>
      </w:pPr>
      <w:r w:rsidRPr="004108D6">
        <w:rPr>
          <w:rFonts w:ascii="Arial" w:hAnsi="Arial" w:cs="Arial"/>
          <w:b/>
          <w:sz w:val="22"/>
          <w:szCs w:val="22"/>
        </w:rPr>
        <w:t xml:space="preserve">Calculus Detection and Removal Skills Assessment </w:t>
      </w:r>
    </w:p>
    <w:p w:rsidR="001C1336" w:rsidRPr="001C1336" w:rsidRDefault="001C1336" w:rsidP="001C1336">
      <w:pPr>
        <w:ind w:firstLine="360"/>
        <w:rPr>
          <w:rFonts w:ascii="Arial" w:eastAsia="Times New Roman" w:hAnsi="Arial" w:cs="Arial"/>
          <w:sz w:val="2"/>
          <w:szCs w:val="10"/>
        </w:rPr>
      </w:pPr>
    </w:p>
    <w:p w:rsidR="0084603D" w:rsidRPr="001C1336" w:rsidRDefault="0084603D" w:rsidP="001C1336">
      <w:pPr>
        <w:ind w:firstLine="360"/>
        <w:rPr>
          <w:rFonts w:ascii="Arial" w:eastAsia="Times New Roman" w:hAnsi="Arial" w:cs="Arial"/>
        </w:rPr>
      </w:pPr>
      <w:r w:rsidRPr="001C1336">
        <w:rPr>
          <w:rFonts w:ascii="Arial" w:eastAsia="Times New Roman" w:hAnsi="Arial" w:cs="Arial"/>
        </w:rPr>
        <w:t>Minimal requirements</w:t>
      </w:r>
      <w:r w:rsidR="001C1336" w:rsidRPr="001C1336">
        <w:rPr>
          <w:rFonts w:ascii="Arial" w:eastAsia="Times New Roman" w:hAnsi="Arial" w:cs="Arial"/>
        </w:rPr>
        <w:t>:</w:t>
      </w:r>
    </w:p>
    <w:p w:rsidR="0084603D" w:rsidRPr="001C1336" w:rsidRDefault="0084603D" w:rsidP="0084603D">
      <w:pPr>
        <w:numPr>
          <w:ilvl w:val="0"/>
          <w:numId w:val="10"/>
        </w:numPr>
        <w:spacing w:before="240" w:after="0" w:line="276" w:lineRule="auto"/>
        <w:rPr>
          <w:rFonts w:ascii="Arial" w:eastAsia="Times New Roman" w:hAnsi="Arial" w:cs="Arial"/>
        </w:rPr>
      </w:pPr>
      <w:r w:rsidRPr="001C1336">
        <w:rPr>
          <w:rFonts w:ascii="Arial" w:eastAsia="Times New Roman" w:hAnsi="Arial" w:cs="Arial"/>
        </w:rPr>
        <w:t>Can be performed on a gingivitis (D1110, D4346) or periodontitis case (D4341/D4342)</w:t>
      </w:r>
    </w:p>
    <w:p w:rsidR="0084603D" w:rsidRPr="001C1336" w:rsidRDefault="0084603D" w:rsidP="0084603D">
      <w:pPr>
        <w:numPr>
          <w:ilvl w:val="0"/>
          <w:numId w:val="10"/>
        </w:numPr>
        <w:spacing w:after="0" w:line="276" w:lineRule="auto"/>
        <w:rPr>
          <w:rFonts w:ascii="Arial" w:eastAsia="Times New Roman" w:hAnsi="Arial" w:cs="Arial"/>
        </w:rPr>
      </w:pPr>
      <w:r w:rsidRPr="001C1336">
        <w:rPr>
          <w:rFonts w:ascii="Arial" w:eastAsia="Times New Roman" w:hAnsi="Arial" w:cs="Arial"/>
        </w:rPr>
        <w:t>At least one molar with proximal contact</w:t>
      </w:r>
    </w:p>
    <w:p w:rsidR="0084603D" w:rsidRPr="001C1336" w:rsidRDefault="0084603D" w:rsidP="0084603D">
      <w:pPr>
        <w:numPr>
          <w:ilvl w:val="0"/>
          <w:numId w:val="10"/>
        </w:numPr>
        <w:spacing w:after="0" w:line="276" w:lineRule="auto"/>
        <w:rPr>
          <w:rFonts w:ascii="Arial" w:eastAsia="Times New Roman" w:hAnsi="Arial" w:cs="Arial"/>
        </w:rPr>
      </w:pPr>
      <w:r w:rsidRPr="001C1336">
        <w:rPr>
          <w:rFonts w:ascii="Arial" w:eastAsia="Times New Roman" w:hAnsi="Arial" w:cs="Arial"/>
        </w:rPr>
        <w:t xml:space="preserve">At least </w:t>
      </w:r>
      <w:r w:rsidRPr="001C1336">
        <w:rPr>
          <w:rFonts w:ascii="Arial" w:eastAsia="Times New Roman" w:hAnsi="Arial" w:cs="Arial"/>
          <w:b/>
          <w:u w:val="single"/>
        </w:rPr>
        <w:t>6 sites</w:t>
      </w:r>
      <w:r w:rsidRPr="001C1336">
        <w:rPr>
          <w:rFonts w:ascii="Arial" w:eastAsia="Times New Roman" w:hAnsi="Arial" w:cs="Arial"/>
        </w:rPr>
        <w:t xml:space="preserve"> with </w:t>
      </w:r>
      <w:r w:rsidRPr="001C1336">
        <w:rPr>
          <w:rFonts w:ascii="Arial" w:eastAsia="Times New Roman" w:hAnsi="Arial" w:cs="Arial"/>
          <w:u w:val="single"/>
        </w:rPr>
        <w:t>clinically detectable subgingival calculus</w:t>
      </w:r>
      <w:r w:rsidRPr="001C1336">
        <w:rPr>
          <w:rFonts w:ascii="Arial" w:eastAsia="Times New Roman" w:hAnsi="Arial" w:cs="Arial"/>
        </w:rPr>
        <w:t xml:space="preserve"> (2 sites from interproximal surfaces of posterior teeth, at least 1 site on a molar)</w:t>
      </w:r>
    </w:p>
    <w:p w:rsidR="0084603D" w:rsidRPr="001C1336" w:rsidRDefault="0084603D" w:rsidP="0084603D">
      <w:pPr>
        <w:numPr>
          <w:ilvl w:val="0"/>
          <w:numId w:val="10"/>
        </w:numPr>
        <w:spacing w:after="0" w:line="276" w:lineRule="auto"/>
        <w:rPr>
          <w:rFonts w:ascii="Arial" w:eastAsia="Times New Roman" w:hAnsi="Arial" w:cs="Arial"/>
        </w:rPr>
      </w:pPr>
      <w:r w:rsidRPr="001C1336">
        <w:rPr>
          <w:rFonts w:ascii="Arial" w:eastAsia="Times New Roman" w:hAnsi="Arial" w:cs="Arial"/>
        </w:rPr>
        <w:t xml:space="preserve">Explorer detectable sub-gingival calculus is defined as a distinct deposit of calculus that can be felt with an explorer as it passes over the calculus. </w:t>
      </w:r>
    </w:p>
    <w:p w:rsidR="0084603D" w:rsidRPr="001C1336" w:rsidRDefault="0084603D" w:rsidP="0084603D">
      <w:pPr>
        <w:numPr>
          <w:ilvl w:val="0"/>
          <w:numId w:val="9"/>
        </w:numPr>
        <w:spacing w:after="0" w:line="276" w:lineRule="auto"/>
        <w:rPr>
          <w:rFonts w:ascii="Arial" w:eastAsia="Times New Roman" w:hAnsi="Arial" w:cs="Arial"/>
        </w:rPr>
      </w:pPr>
      <w:r w:rsidRPr="001C1336">
        <w:rPr>
          <w:rFonts w:ascii="Arial" w:eastAsia="Times New Roman" w:hAnsi="Arial" w:cs="Arial"/>
        </w:rPr>
        <w:t>A definite jump or bump or</w:t>
      </w:r>
    </w:p>
    <w:p w:rsidR="0084603D" w:rsidRPr="001C1336" w:rsidRDefault="0084603D" w:rsidP="0084603D">
      <w:pPr>
        <w:numPr>
          <w:ilvl w:val="0"/>
          <w:numId w:val="9"/>
        </w:numPr>
        <w:spacing w:after="0" w:line="276" w:lineRule="auto"/>
        <w:rPr>
          <w:rFonts w:ascii="Arial" w:eastAsia="Times New Roman" w:hAnsi="Arial" w:cs="Arial"/>
        </w:rPr>
      </w:pPr>
      <w:r w:rsidRPr="001C1336">
        <w:rPr>
          <w:rFonts w:ascii="Arial" w:eastAsia="Times New Roman" w:hAnsi="Arial" w:cs="Arial"/>
        </w:rPr>
        <w:t>Ledges or ring formations or</w:t>
      </w:r>
    </w:p>
    <w:p w:rsidR="0084603D" w:rsidRPr="001C1336" w:rsidRDefault="0084603D" w:rsidP="0084603D">
      <w:pPr>
        <w:numPr>
          <w:ilvl w:val="0"/>
          <w:numId w:val="9"/>
        </w:numPr>
        <w:spacing w:after="0" w:line="276" w:lineRule="auto"/>
        <w:rPr>
          <w:rFonts w:ascii="Arial" w:eastAsia="Times New Roman" w:hAnsi="Arial" w:cs="Arial"/>
        </w:rPr>
      </w:pPr>
      <w:r w:rsidRPr="001C1336">
        <w:rPr>
          <w:rFonts w:ascii="Arial" w:eastAsia="Times New Roman" w:hAnsi="Arial" w:cs="Arial"/>
        </w:rPr>
        <w:t>Spiny or nodular formations</w:t>
      </w:r>
    </w:p>
    <w:p w:rsidR="0084603D" w:rsidRPr="001C1336" w:rsidRDefault="0084603D" w:rsidP="0084603D">
      <w:pPr>
        <w:numPr>
          <w:ilvl w:val="0"/>
          <w:numId w:val="11"/>
        </w:numPr>
        <w:spacing w:after="360" w:line="276" w:lineRule="auto"/>
        <w:rPr>
          <w:rFonts w:ascii="Arial" w:eastAsia="Times New Roman" w:hAnsi="Arial" w:cs="Arial"/>
        </w:rPr>
      </w:pPr>
      <w:r w:rsidRPr="001C1336">
        <w:rPr>
          <w:rFonts w:ascii="Arial" w:eastAsia="Times New Roman" w:hAnsi="Arial" w:cs="Arial"/>
        </w:rPr>
        <w:t xml:space="preserve">Student must have completed at least </w:t>
      </w:r>
      <w:r w:rsidRPr="001C1336">
        <w:rPr>
          <w:rFonts w:ascii="Arial" w:eastAsia="Times New Roman" w:hAnsi="Arial" w:cs="Arial"/>
          <w:u w:val="single"/>
        </w:rPr>
        <w:t>3 prior quadrants of SRP</w:t>
      </w:r>
    </w:p>
    <w:p w:rsidR="001C1336" w:rsidRPr="001C1336" w:rsidRDefault="001C1336" w:rsidP="001C1336">
      <w:pPr>
        <w:rPr>
          <w:rFonts w:ascii="Arial" w:eastAsia="Times New Roman" w:hAnsi="Arial" w:cs="Arial"/>
          <w:b/>
          <w:color w:val="FB0007"/>
        </w:rPr>
      </w:pPr>
      <w:r w:rsidRPr="001C1336">
        <w:rPr>
          <w:rFonts w:ascii="Arial" w:eastAsia="Times New Roman" w:hAnsi="Arial" w:cs="Arial"/>
          <w:b/>
          <w:color w:val="FB0007"/>
        </w:rPr>
        <w:t>(F in any category = failure)</w:t>
      </w:r>
    </w:p>
    <w:p w:rsidR="0084603D" w:rsidRPr="001C1336" w:rsidRDefault="0084603D" w:rsidP="0084603D">
      <w:pPr>
        <w:spacing w:after="120"/>
        <w:rPr>
          <w:rFonts w:ascii="Arial" w:eastAsia="Times New Roman" w:hAnsi="Arial" w:cs="Arial"/>
          <w:color w:val="FB0007"/>
        </w:rPr>
      </w:pPr>
      <w:r w:rsidRPr="001C1336">
        <w:rPr>
          <w:rFonts w:ascii="Arial" w:eastAsia="Times New Roman" w:hAnsi="Arial" w:cs="Arial"/>
          <w:color w:val="FB0007"/>
        </w:rPr>
        <w:t xml:space="preserve">Competency Pass or Fail?   PASS     FAIL </w:t>
      </w: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 xml:space="preserve">Initial assessment (start check, med hx, identification of contributing risk factors)     </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xml:space="preserve"> Thorough and up-to-date/minor concerns, not adversely affecting </w:t>
      </w:r>
      <w:proofErr w:type="spellStart"/>
      <w:r w:rsidRPr="001C1336">
        <w:rPr>
          <w:rFonts w:ascii="Arial" w:eastAsia="Times New Roman" w:hAnsi="Arial" w:cs="Arial"/>
        </w:rPr>
        <w:t>tx</w:t>
      </w:r>
      <w:proofErr w:type="spellEnd"/>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xml:space="preserve"> Major errors adversely affecting </w:t>
      </w:r>
      <w:proofErr w:type="spellStart"/>
      <w:r w:rsidRPr="001C1336">
        <w:rPr>
          <w:rFonts w:ascii="Arial" w:eastAsia="Times New Roman" w:hAnsi="Arial" w:cs="Arial"/>
        </w:rPr>
        <w:t>tx</w:t>
      </w:r>
      <w:proofErr w:type="spellEnd"/>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 xml:space="preserve">Calculus deposits identified                                                                                                                    </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lastRenderedPageBreak/>
        <w:t>P</w:t>
      </w:r>
      <w:r w:rsidRPr="001C1336">
        <w:rPr>
          <w:rFonts w:ascii="Arial" w:eastAsia="Times New Roman" w:hAnsi="Arial" w:cs="Arial"/>
        </w:rPr>
        <w:t xml:space="preserve">: Calculus deposits detected accurately/minor inaccuracies </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Major errors in Calculus Detection</w:t>
      </w:r>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 xml:space="preserve">Plaque control regimen                                                                                                                            </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xml:space="preserve"> Plaque disclosed/recorded accurately, OH assessed properly, addressing </w:t>
      </w:r>
      <w:proofErr w:type="spellStart"/>
      <w:r w:rsidRPr="001C1336">
        <w:rPr>
          <w:rFonts w:ascii="Arial" w:eastAsia="Times New Roman" w:hAnsi="Arial" w:cs="Arial"/>
        </w:rPr>
        <w:t>pt’s</w:t>
      </w:r>
      <w:proofErr w:type="spellEnd"/>
      <w:r w:rsidRPr="001C1336">
        <w:rPr>
          <w:rFonts w:ascii="Arial" w:eastAsia="Times New Roman" w:hAnsi="Arial" w:cs="Arial"/>
        </w:rPr>
        <w:t xml:space="preserve"> needs</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xml:space="preserve"> Plaque not recorded/disclosed accurately, insufficient interaction, not addressing </w:t>
      </w:r>
      <w:proofErr w:type="spellStart"/>
      <w:r w:rsidRPr="001C1336">
        <w:rPr>
          <w:rFonts w:ascii="Arial" w:eastAsia="Times New Roman" w:hAnsi="Arial" w:cs="Arial"/>
        </w:rPr>
        <w:t>pt’s</w:t>
      </w:r>
      <w:proofErr w:type="spellEnd"/>
      <w:r w:rsidRPr="001C1336">
        <w:rPr>
          <w:rFonts w:ascii="Arial" w:eastAsia="Times New Roman" w:hAnsi="Arial" w:cs="Arial"/>
        </w:rPr>
        <w:t xml:space="preserve"> needs</w:t>
      </w:r>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 xml:space="preserve">Supra/ Sub-gingival instrumentation                                                                                                                       </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No more than 2 definable supra/sub-g calculus deposits</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xml:space="preserve">: 3 or more sites with definable supra/ sub-g calculus deposits </w:t>
      </w:r>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Post-instrumentation evaluation (tissue trauma)</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Tissue free of undue trauma/minor isolated tissue trauma</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Major damage to the soft tissue (amputated papillae, tissue damage that requires suturing)</w:t>
      </w:r>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Instrument handing</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Sufficient knowledge of periodontal instruments, instruments properly applied/ sharpened</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xml:space="preserve">: Major deficiencies in knowledge of periodontal instruments and instrumentation process adversely affecting </w:t>
      </w:r>
      <w:proofErr w:type="spellStart"/>
      <w:r w:rsidRPr="001C1336">
        <w:rPr>
          <w:rFonts w:ascii="Arial" w:eastAsia="Times New Roman" w:hAnsi="Arial" w:cs="Arial"/>
        </w:rPr>
        <w:t>pt</w:t>
      </w:r>
      <w:proofErr w:type="spellEnd"/>
      <w:r w:rsidRPr="001C1336">
        <w:rPr>
          <w:rFonts w:ascii="Arial" w:eastAsia="Times New Roman" w:hAnsi="Arial" w:cs="Arial"/>
        </w:rPr>
        <w:t xml:space="preserve"> care</w:t>
      </w:r>
    </w:p>
    <w:p w:rsidR="0084603D" w:rsidRPr="001C1336" w:rsidRDefault="0084603D" w:rsidP="0084603D">
      <w:pPr>
        <w:spacing w:line="240" w:lineRule="auto"/>
        <w:rPr>
          <w:rFonts w:ascii="Arial" w:eastAsia="Times New Roman" w:hAnsi="Arial" w:cs="Arial"/>
        </w:rPr>
      </w:pPr>
    </w:p>
    <w:p w:rsidR="0084603D" w:rsidRPr="001C1336" w:rsidRDefault="0084603D" w:rsidP="0084603D">
      <w:pPr>
        <w:spacing w:line="240" w:lineRule="auto"/>
        <w:rPr>
          <w:rFonts w:ascii="Arial" w:eastAsia="Times New Roman" w:hAnsi="Arial" w:cs="Arial"/>
          <w:b/>
        </w:rPr>
      </w:pPr>
      <w:r w:rsidRPr="001C1336">
        <w:rPr>
          <w:rFonts w:ascii="Arial" w:eastAsia="Times New Roman" w:hAnsi="Arial" w:cs="Arial"/>
          <w:b/>
        </w:rPr>
        <w:t>Self-clinical judgment</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P:</w:t>
      </w:r>
      <w:r w:rsidRPr="001C1336">
        <w:rPr>
          <w:rFonts w:ascii="Arial" w:eastAsia="Times New Roman" w:hAnsi="Arial" w:cs="Arial"/>
        </w:rPr>
        <w:t xml:space="preserve"> Student is aware of completed procedure, goal of therapy, re-eval timing</w:t>
      </w:r>
    </w:p>
    <w:p w:rsidR="0084603D" w:rsidRPr="001C1336" w:rsidRDefault="0084603D" w:rsidP="0084603D">
      <w:pPr>
        <w:spacing w:line="240" w:lineRule="auto"/>
        <w:rPr>
          <w:rFonts w:ascii="Arial" w:eastAsia="Times New Roman" w:hAnsi="Arial" w:cs="Arial"/>
        </w:rPr>
      </w:pPr>
      <w:r w:rsidRPr="001C1336">
        <w:rPr>
          <w:rFonts w:ascii="Arial" w:eastAsia="Times New Roman" w:hAnsi="Arial" w:cs="Arial"/>
          <w:b/>
        </w:rPr>
        <w:t>F:</w:t>
      </w:r>
      <w:r w:rsidRPr="001C1336">
        <w:rPr>
          <w:rFonts w:ascii="Arial" w:eastAsia="Times New Roman" w:hAnsi="Arial" w:cs="Arial"/>
        </w:rPr>
        <w:t xml:space="preserve"> Major errors in clinical judgment (unaware of completed procedure, goal of therapy, re-eval)</w:t>
      </w:r>
    </w:p>
    <w:p w:rsidR="0084603D" w:rsidRPr="001C1336" w:rsidRDefault="0084603D" w:rsidP="0084603D">
      <w:pPr>
        <w:spacing w:line="240" w:lineRule="auto"/>
        <w:rPr>
          <w:rFonts w:ascii="Times New Roman" w:eastAsia="Times New Roman" w:hAnsi="Times New Roman" w:cs="Times New Roman"/>
        </w:rPr>
      </w:pPr>
    </w:p>
    <w:p w:rsidR="0084603D" w:rsidRPr="00270BCE" w:rsidRDefault="0084603D" w:rsidP="007A7C44">
      <w:pPr>
        <w:pStyle w:val="NormalWeb"/>
        <w:spacing w:before="180" w:beforeAutospacing="0" w:after="180" w:afterAutospacing="0"/>
        <w:rPr>
          <w:rFonts w:ascii="Arial" w:hAnsi="Arial" w:cs="Arial"/>
          <w:sz w:val="22"/>
          <w:szCs w:val="22"/>
        </w:rPr>
      </w:pPr>
    </w:p>
    <w:p w:rsidR="0042795F" w:rsidRDefault="0042795F" w:rsidP="0042795F">
      <w:pPr>
        <w:pStyle w:val="Heading1"/>
        <w:spacing w:before="400" w:beforeAutospacing="0" w:after="120" w:afterAutospacing="0"/>
      </w:pPr>
      <w:r>
        <w:rPr>
          <w:rFonts w:ascii="Arial" w:hAnsi="Arial" w:cs="Arial"/>
          <w:b w:val="0"/>
          <w:bCs w:val="0"/>
          <w:color w:val="000000"/>
          <w:sz w:val="40"/>
          <w:szCs w:val="40"/>
        </w:rPr>
        <w:t>V. Course Material</w:t>
      </w:r>
    </w:p>
    <w:p w:rsidR="00270BCE" w:rsidRPr="001772EA" w:rsidRDefault="00270BCE" w:rsidP="00270BCE">
      <w:pPr>
        <w:pStyle w:val="NormalWeb"/>
        <w:spacing w:before="0" w:beforeAutospacing="0" w:after="0" w:afterAutospacing="0"/>
        <w:rPr>
          <w:rFonts w:ascii="Arial" w:hAnsi="Arial" w:cs="Arial"/>
        </w:rPr>
      </w:pPr>
      <w:r w:rsidRPr="001772EA">
        <w:rPr>
          <w:rFonts w:ascii="Arial" w:hAnsi="Arial" w:cs="Arial"/>
          <w:color w:val="000000"/>
          <w:sz w:val="22"/>
          <w:szCs w:val="22"/>
        </w:rPr>
        <w:t xml:space="preserve">Reference Text: </w:t>
      </w:r>
      <w:r w:rsidRPr="001772EA">
        <w:rPr>
          <w:rFonts w:ascii="Arial" w:hAnsi="Arial" w:cs="Arial"/>
          <w:i/>
          <w:iCs/>
          <w:color w:val="000000"/>
          <w:sz w:val="22"/>
          <w:szCs w:val="22"/>
        </w:rPr>
        <w:t xml:space="preserve">Clinical Periodontology and Implant Dentistry. Sixth Edition. </w:t>
      </w:r>
      <w:r w:rsidR="00BD3ABB" w:rsidRPr="001772EA">
        <w:rPr>
          <w:rFonts w:ascii="Arial" w:hAnsi="Arial" w:cs="Arial"/>
          <w:color w:val="000000"/>
          <w:sz w:val="22"/>
          <w:szCs w:val="22"/>
        </w:rPr>
        <w:t xml:space="preserve">Niklaus Lang </w:t>
      </w:r>
      <w:r w:rsidR="00BD3ABB">
        <w:rPr>
          <w:rFonts w:ascii="Arial" w:hAnsi="Arial" w:cs="Arial"/>
          <w:color w:val="000000"/>
          <w:sz w:val="22"/>
          <w:szCs w:val="22"/>
        </w:rPr>
        <w:t xml:space="preserve">and </w:t>
      </w:r>
      <w:r w:rsidRPr="001772EA">
        <w:rPr>
          <w:rFonts w:ascii="Arial" w:hAnsi="Arial" w:cs="Arial"/>
          <w:color w:val="000000"/>
          <w:sz w:val="22"/>
          <w:szCs w:val="22"/>
        </w:rPr>
        <w:t xml:space="preserve">Jan </w:t>
      </w:r>
      <w:proofErr w:type="spellStart"/>
      <w:r w:rsidRPr="001772EA">
        <w:rPr>
          <w:rFonts w:ascii="Arial" w:hAnsi="Arial" w:cs="Arial"/>
          <w:color w:val="000000"/>
          <w:sz w:val="22"/>
          <w:szCs w:val="22"/>
        </w:rPr>
        <w:t>Lindhe</w:t>
      </w:r>
      <w:proofErr w:type="spellEnd"/>
      <w:r w:rsidRPr="001772EA">
        <w:rPr>
          <w:rFonts w:ascii="Arial" w:hAnsi="Arial" w:cs="Arial"/>
          <w:color w:val="000000"/>
          <w:sz w:val="22"/>
          <w:szCs w:val="22"/>
        </w:rPr>
        <w:t>.</w:t>
      </w:r>
    </w:p>
    <w:p w:rsidR="005175CA" w:rsidRDefault="005175CA" w:rsidP="005175CA">
      <w:pPr>
        <w:pStyle w:val="NormalWeb"/>
        <w:spacing w:before="180" w:beforeAutospacing="0" w:after="180" w:afterAutospacing="0"/>
        <w:rPr>
          <w:rFonts w:ascii="Arial" w:hAnsi="Arial" w:cs="Arial"/>
          <w:color w:val="000000"/>
          <w:sz w:val="22"/>
          <w:szCs w:val="22"/>
        </w:rPr>
      </w:pPr>
      <w:r w:rsidRPr="001772EA">
        <w:rPr>
          <w:rFonts w:ascii="Arial" w:hAnsi="Arial" w:cs="Arial"/>
          <w:color w:val="000000"/>
          <w:sz w:val="22"/>
          <w:szCs w:val="22"/>
        </w:rPr>
        <w:t xml:space="preserve">Review the </w:t>
      </w:r>
      <w:r w:rsidRPr="00C002BF">
        <w:rPr>
          <w:rFonts w:ascii="Arial" w:hAnsi="Arial" w:cs="Arial"/>
          <w:color w:val="000000"/>
          <w:sz w:val="22"/>
          <w:szCs w:val="22"/>
          <w:u w:val="single"/>
        </w:rPr>
        <w:t>Clinical Curriculum Pre-Doctoral Program in Periodontology</w:t>
      </w:r>
      <w:r w:rsidRPr="001772EA">
        <w:rPr>
          <w:rFonts w:ascii="Arial" w:hAnsi="Arial" w:cs="Arial"/>
          <w:color w:val="000000"/>
          <w:sz w:val="22"/>
          <w:szCs w:val="22"/>
        </w:rPr>
        <w:t xml:space="preserve"> for additional details</w:t>
      </w:r>
      <w:r>
        <w:rPr>
          <w:rFonts w:ascii="Arial" w:hAnsi="Arial" w:cs="Arial"/>
          <w:color w:val="000000"/>
          <w:sz w:val="22"/>
          <w:szCs w:val="22"/>
        </w:rPr>
        <w:t>. This comprehensive syllabus is</w:t>
      </w:r>
      <w:r w:rsidRPr="001772EA">
        <w:rPr>
          <w:rFonts w:ascii="Arial" w:hAnsi="Arial" w:cs="Arial"/>
          <w:color w:val="000000"/>
          <w:sz w:val="22"/>
          <w:szCs w:val="22"/>
        </w:rPr>
        <w:t xml:space="preserve"> in the Documents section of this course in Canvas.</w:t>
      </w:r>
    </w:p>
    <w:p w:rsidR="00446D63" w:rsidRPr="001772EA" w:rsidRDefault="00446D63" w:rsidP="00446D63">
      <w:pPr>
        <w:pStyle w:val="NormalWeb"/>
        <w:spacing w:before="180" w:beforeAutospacing="0" w:after="180" w:afterAutospacing="0"/>
        <w:rPr>
          <w:rFonts w:ascii="Arial" w:hAnsi="Arial" w:cs="Arial"/>
          <w:color w:val="000000"/>
          <w:sz w:val="22"/>
          <w:szCs w:val="22"/>
        </w:rPr>
      </w:pPr>
      <w:r w:rsidRPr="001772EA">
        <w:rPr>
          <w:rFonts w:ascii="Arial" w:hAnsi="Arial" w:cs="Arial"/>
          <w:color w:val="000000"/>
          <w:sz w:val="22"/>
          <w:szCs w:val="22"/>
        </w:rPr>
        <w:t>Review the</w:t>
      </w:r>
      <w:r>
        <w:rPr>
          <w:rFonts w:ascii="Arial" w:hAnsi="Arial" w:cs="Arial"/>
          <w:color w:val="000000"/>
          <w:sz w:val="22"/>
          <w:szCs w:val="22"/>
        </w:rPr>
        <w:t xml:space="preserve"> </w:t>
      </w:r>
      <w:r w:rsidRPr="00AA2FB1">
        <w:rPr>
          <w:u w:val="single"/>
        </w:rPr>
        <w:t>UFCD TEAM’s Clinic Protocol</w:t>
      </w:r>
    </w:p>
    <w:p w:rsidR="00270BCE" w:rsidRPr="001772EA" w:rsidRDefault="00270BCE" w:rsidP="00270BCE">
      <w:pPr>
        <w:pStyle w:val="NormalWeb"/>
        <w:spacing w:before="180" w:beforeAutospacing="0" w:after="180" w:afterAutospacing="0"/>
        <w:rPr>
          <w:rFonts w:ascii="Arial" w:hAnsi="Arial" w:cs="Arial"/>
        </w:rPr>
      </w:pPr>
      <w:r w:rsidRPr="001772EA">
        <w:rPr>
          <w:rFonts w:ascii="Arial" w:hAnsi="Arial" w:cs="Arial"/>
          <w:b/>
          <w:bCs/>
          <w:color w:val="000000"/>
          <w:sz w:val="22"/>
          <w:szCs w:val="22"/>
        </w:rPr>
        <w:lastRenderedPageBreak/>
        <w:t>Optional resource:</w:t>
      </w:r>
      <w:r w:rsidRPr="001772EA">
        <w:rPr>
          <w:rFonts w:ascii="Arial" w:hAnsi="Arial" w:cs="Arial"/>
        </w:rPr>
        <w:t xml:space="preserve">  </w:t>
      </w:r>
      <w:hyperlink r:id="rId5" w:history="1">
        <w:r w:rsidRPr="001772EA">
          <w:rPr>
            <w:rStyle w:val="Hyperlink"/>
            <w:rFonts w:ascii="Arial" w:hAnsi="Arial" w:cs="Arial"/>
            <w:sz w:val="22"/>
            <w:szCs w:val="22"/>
          </w:rPr>
          <w:t>HSC Dental Library Guide</w:t>
        </w:r>
      </w:hyperlink>
    </w:p>
    <w:p w:rsidR="0042795F" w:rsidRDefault="0042795F" w:rsidP="0042795F">
      <w:pPr>
        <w:pStyle w:val="Heading1"/>
        <w:spacing w:before="400" w:beforeAutospacing="0" w:after="120" w:afterAutospacing="0"/>
      </w:pPr>
      <w:r>
        <w:rPr>
          <w:rFonts w:ascii="Arial" w:hAnsi="Arial" w:cs="Arial"/>
          <w:b w:val="0"/>
          <w:bCs w:val="0"/>
          <w:color w:val="000000"/>
          <w:sz w:val="40"/>
          <w:szCs w:val="40"/>
        </w:rPr>
        <w:t>VI. Course Objectives</w:t>
      </w:r>
    </w:p>
    <w:p w:rsidR="0042795F" w:rsidRDefault="0042795F" w:rsidP="0042795F">
      <w:pPr>
        <w:pStyle w:val="NormalWeb"/>
        <w:spacing w:before="0" w:beforeAutospacing="0" w:after="0" w:afterAutospacing="0"/>
      </w:pPr>
      <w:r>
        <w:rPr>
          <w:rFonts w:ascii="Arial" w:hAnsi="Arial" w:cs="Arial"/>
          <w:color w:val="000000"/>
          <w:sz w:val="22"/>
          <w:szCs w:val="22"/>
        </w:rPr>
        <w:t>1. Provide diagnostic information, treatment plan options and periodontal therapy to your patients.</w:t>
      </w:r>
    </w:p>
    <w:p w:rsidR="0042795F" w:rsidRDefault="0042795F" w:rsidP="0042795F">
      <w:pPr>
        <w:pStyle w:val="NormalWeb"/>
        <w:spacing w:before="0" w:beforeAutospacing="0" w:after="0" w:afterAutospacing="0"/>
      </w:pPr>
      <w:r>
        <w:rPr>
          <w:rFonts w:ascii="Arial" w:hAnsi="Arial" w:cs="Arial"/>
          <w:color w:val="000000"/>
          <w:sz w:val="22"/>
          <w:szCs w:val="22"/>
        </w:rPr>
        <w:t>2. Sequence periodontal care within the context of comprehensive patient care.</w:t>
      </w:r>
    </w:p>
    <w:p w:rsidR="0042795F" w:rsidRDefault="0042795F" w:rsidP="0042795F">
      <w:pPr>
        <w:pStyle w:val="NormalWeb"/>
        <w:spacing w:before="0" w:beforeAutospacing="0" w:after="0" w:afterAutospacing="0"/>
      </w:pPr>
      <w:r>
        <w:rPr>
          <w:rFonts w:ascii="Arial" w:hAnsi="Arial" w:cs="Arial"/>
          <w:color w:val="000000"/>
          <w:sz w:val="22"/>
          <w:szCs w:val="22"/>
        </w:rPr>
        <w:t>3. Achiev</w:t>
      </w:r>
      <w:r w:rsidR="00BD3ABB">
        <w:rPr>
          <w:rFonts w:ascii="Arial" w:hAnsi="Arial" w:cs="Arial"/>
          <w:color w:val="000000"/>
          <w:sz w:val="22"/>
          <w:szCs w:val="22"/>
        </w:rPr>
        <w:t>e</w:t>
      </w:r>
      <w:r>
        <w:rPr>
          <w:rFonts w:ascii="Arial" w:hAnsi="Arial" w:cs="Arial"/>
          <w:color w:val="000000"/>
          <w:sz w:val="22"/>
          <w:szCs w:val="22"/>
        </w:rPr>
        <w:t xml:space="preserve"> competency in the major domains of periodontal patient care.</w:t>
      </w:r>
    </w:p>
    <w:p w:rsidR="0042795F" w:rsidRDefault="0042795F" w:rsidP="0042795F">
      <w:pPr>
        <w:pStyle w:val="NormalWeb"/>
        <w:spacing w:before="0" w:beforeAutospacing="0" w:after="0" w:afterAutospacing="0"/>
      </w:pPr>
      <w:r>
        <w:rPr>
          <w:rFonts w:ascii="Arial" w:hAnsi="Arial" w:cs="Arial"/>
          <w:color w:val="000000"/>
          <w:sz w:val="22"/>
          <w:szCs w:val="22"/>
        </w:rPr>
        <w:t>4. Develop and execute periodontal surgical plans.</w:t>
      </w:r>
    </w:p>
    <w:p w:rsidR="0042795F" w:rsidRDefault="0042795F" w:rsidP="0042795F">
      <w:pPr>
        <w:pStyle w:val="NormalWeb"/>
        <w:spacing w:before="0" w:beforeAutospacing="0" w:after="0" w:afterAutospacing="0"/>
      </w:pPr>
      <w:r>
        <w:rPr>
          <w:rFonts w:ascii="Arial" w:hAnsi="Arial" w:cs="Arial"/>
          <w:color w:val="000000"/>
          <w:sz w:val="22"/>
          <w:szCs w:val="22"/>
        </w:rPr>
        <w:t xml:space="preserve">5. Schedule and maintain your patient’s periodontal and overall oral health through supportive </w:t>
      </w:r>
      <w:proofErr w:type="spellStart"/>
      <w:r>
        <w:rPr>
          <w:rFonts w:ascii="Arial" w:hAnsi="Arial" w:cs="Arial"/>
          <w:color w:val="000000"/>
          <w:sz w:val="22"/>
          <w:szCs w:val="22"/>
        </w:rPr>
        <w:t>recare</w:t>
      </w:r>
      <w:proofErr w:type="spellEnd"/>
      <w:r>
        <w:rPr>
          <w:rFonts w:ascii="Arial" w:hAnsi="Arial" w:cs="Arial"/>
          <w:color w:val="000000"/>
          <w:sz w:val="22"/>
          <w:szCs w:val="22"/>
        </w:rPr>
        <w:t xml:space="preserve"> visits.</w:t>
      </w:r>
    </w:p>
    <w:p w:rsidR="0042795F" w:rsidRDefault="0042795F" w:rsidP="0042795F">
      <w:pPr>
        <w:pStyle w:val="Heading1"/>
        <w:spacing w:before="400" w:beforeAutospacing="0" w:after="120" w:afterAutospacing="0"/>
      </w:pPr>
      <w:r>
        <w:rPr>
          <w:rFonts w:ascii="Arial" w:hAnsi="Arial" w:cs="Arial"/>
          <w:b w:val="0"/>
          <w:bCs w:val="0"/>
          <w:color w:val="000000"/>
          <w:sz w:val="40"/>
          <w:szCs w:val="40"/>
        </w:rPr>
        <w:t>VII. Course Competencies</w:t>
      </w:r>
    </w:p>
    <w:p w:rsidR="00270BCE" w:rsidRPr="001772EA" w:rsidRDefault="00270BCE" w:rsidP="00270BCE">
      <w:pPr>
        <w:pStyle w:val="NormalWeb"/>
        <w:spacing w:before="0" w:beforeAutospacing="0" w:after="0" w:afterAutospacing="0"/>
        <w:rPr>
          <w:rFonts w:ascii="Arial" w:hAnsi="Arial" w:cs="Arial"/>
        </w:rPr>
      </w:pPr>
      <w:r w:rsidRPr="001772EA">
        <w:rPr>
          <w:rFonts w:ascii="Arial" w:hAnsi="Arial" w:cs="Arial"/>
          <w:color w:val="000000"/>
          <w:sz w:val="22"/>
          <w:szCs w:val="22"/>
        </w:rPr>
        <w:t xml:space="preserve">This course teaches to the following competencies in the </w:t>
      </w:r>
      <w:hyperlink r:id="rId6" w:history="1">
        <w:r w:rsidRPr="001772EA">
          <w:rPr>
            <w:rStyle w:val="Hyperlink"/>
            <w:rFonts w:ascii="Arial" w:hAnsi="Arial" w:cs="Arial"/>
            <w:i/>
            <w:iCs/>
            <w:sz w:val="22"/>
            <w:szCs w:val="22"/>
          </w:rPr>
          <w:t>Competencies for the New Dental Graduate</w:t>
        </w:r>
      </w:hyperlink>
      <w:r w:rsidRPr="001772EA">
        <w:rPr>
          <w:rFonts w:ascii="Arial" w:hAnsi="Arial" w:cs="Arial"/>
          <w:i/>
          <w:iCs/>
          <w:sz w:val="22"/>
          <w:szCs w:val="22"/>
        </w:rPr>
        <w:t>.</w:t>
      </w:r>
    </w:p>
    <w:p w:rsidR="0042795F" w:rsidRDefault="0042795F" w:rsidP="0042795F"/>
    <w:p w:rsidR="0042795F" w:rsidRDefault="0042795F" w:rsidP="0042795F">
      <w:pPr>
        <w:pStyle w:val="NormalWeb"/>
        <w:spacing w:before="0" w:beforeAutospacing="0" w:after="0" w:afterAutospacing="0"/>
      </w:pPr>
      <w:r>
        <w:rPr>
          <w:rFonts w:ascii="Arial" w:hAnsi="Arial" w:cs="Arial"/>
          <w:color w:val="000000"/>
          <w:sz w:val="22"/>
          <w:szCs w:val="22"/>
        </w:rPr>
        <w:t>1: Critical Thinking:  Use critical thinking and problem-solving, including their use in the comprehensive care of patients, scientific inquiry and research methodology.</w:t>
      </w:r>
    </w:p>
    <w:p w:rsidR="0042795F" w:rsidRDefault="0042795F" w:rsidP="0042795F">
      <w:pPr>
        <w:pStyle w:val="NormalWeb"/>
        <w:spacing w:before="0" w:beforeAutospacing="0" w:after="0" w:afterAutospacing="0"/>
      </w:pPr>
      <w:r>
        <w:rPr>
          <w:rFonts w:ascii="Arial" w:hAnsi="Arial" w:cs="Arial"/>
          <w:color w:val="000000"/>
          <w:sz w:val="22"/>
          <w:szCs w:val="22"/>
        </w:rPr>
        <w:t>2: Evidence-Based Patient Care: Access, critically appraise, apply and communicate scientific and lay literature as it relates to providing evidence-based patient care.</w:t>
      </w:r>
    </w:p>
    <w:p w:rsidR="0042795F" w:rsidRDefault="0042795F" w:rsidP="0042795F">
      <w:pPr>
        <w:pStyle w:val="NormalWeb"/>
        <w:spacing w:before="0" w:beforeAutospacing="0" w:after="0" w:afterAutospacing="0"/>
      </w:pPr>
      <w:r>
        <w:rPr>
          <w:rFonts w:ascii="Arial" w:hAnsi="Arial" w:cs="Arial"/>
          <w:color w:val="000000"/>
          <w:sz w:val="22"/>
          <w:szCs w:val="22"/>
        </w:rPr>
        <w:t>3: Apply biomedical science knowledge in the delivery of patient care.</w:t>
      </w:r>
    </w:p>
    <w:p w:rsidR="0042795F" w:rsidRDefault="0042795F" w:rsidP="0042795F">
      <w:pPr>
        <w:pStyle w:val="NormalWeb"/>
        <w:spacing w:before="0" w:beforeAutospacing="0" w:after="0" w:afterAutospacing="0"/>
      </w:pPr>
      <w:r>
        <w:rPr>
          <w:rFonts w:ascii="Arial" w:hAnsi="Arial" w:cs="Arial"/>
          <w:color w:val="000000"/>
          <w:sz w:val="22"/>
          <w:szCs w:val="22"/>
        </w:rPr>
        <w:t>6: Appropriate Referral</w:t>
      </w:r>
      <w:r w:rsidR="00BD3ABB">
        <w:rPr>
          <w:rFonts w:ascii="Arial" w:hAnsi="Arial" w:cs="Arial"/>
          <w:color w:val="000000"/>
          <w:sz w:val="22"/>
          <w:szCs w:val="22"/>
        </w:rPr>
        <w:t>:</w:t>
      </w:r>
      <w:r>
        <w:rPr>
          <w:rFonts w:ascii="Arial" w:hAnsi="Arial" w:cs="Arial"/>
          <w:color w:val="000000"/>
          <w:sz w:val="22"/>
          <w:szCs w:val="22"/>
        </w:rPr>
        <w:t xml:space="preserve"> Provide oral health care within the scope of general dentistry to include recognizing the complexity of patient treatment and identifying when referral is indicated.</w:t>
      </w:r>
    </w:p>
    <w:p w:rsidR="0042795F" w:rsidRDefault="0042795F" w:rsidP="0042795F">
      <w:pPr>
        <w:pStyle w:val="NormalWeb"/>
        <w:spacing w:before="0" w:beforeAutospacing="0" w:after="0" w:afterAutospacing="0"/>
      </w:pPr>
      <w:r>
        <w:rPr>
          <w:rFonts w:ascii="Arial" w:hAnsi="Arial" w:cs="Arial"/>
          <w:color w:val="000000"/>
          <w:sz w:val="22"/>
          <w:szCs w:val="22"/>
        </w:rPr>
        <w:t>7: Communication Skills: Apply the fundamental principles of behavioral sciences using patient-centered approaches for promoting, improving and maintaining oral health.</w:t>
      </w:r>
    </w:p>
    <w:p w:rsidR="0042795F" w:rsidRDefault="0042795F" w:rsidP="0042795F">
      <w:pPr>
        <w:pStyle w:val="NormalWeb"/>
        <w:spacing w:before="0" w:beforeAutospacing="0" w:after="0" w:afterAutospacing="0"/>
      </w:pPr>
      <w:r>
        <w:rPr>
          <w:rFonts w:ascii="Arial" w:hAnsi="Arial" w:cs="Arial"/>
          <w:color w:val="000000"/>
          <w:sz w:val="22"/>
          <w:szCs w:val="22"/>
        </w:rPr>
        <w:t>9: Health Promotion &amp; Disease Prevention: Provide oral health care within the scope of general dentistry to include health promotion and disease prevention.</w:t>
      </w:r>
    </w:p>
    <w:p w:rsidR="0042795F" w:rsidRDefault="0042795F" w:rsidP="0042795F">
      <w:pPr>
        <w:pStyle w:val="NormalWeb"/>
        <w:spacing w:before="0" w:beforeAutospacing="0" w:after="0" w:afterAutospacing="0"/>
      </w:pPr>
      <w:r>
        <w:rPr>
          <w:rFonts w:ascii="Arial" w:hAnsi="Arial" w:cs="Arial"/>
          <w:color w:val="000000"/>
          <w:sz w:val="22"/>
          <w:szCs w:val="22"/>
        </w:rPr>
        <w:t>12: Patient Assessment, Diagnosis, Treatment Planning and Informed Consent: Provide oral health care within the scope of general dentistry to include patient assessment, diagnosis, comprehensive treatment planning, prognosis, and informed consent.</w:t>
      </w:r>
    </w:p>
    <w:p w:rsidR="0042795F" w:rsidRDefault="0042795F" w:rsidP="0042795F">
      <w:pPr>
        <w:pStyle w:val="NormalWeb"/>
        <w:spacing w:before="0" w:beforeAutospacing="0" w:after="0" w:afterAutospacing="0"/>
      </w:pPr>
      <w:r>
        <w:rPr>
          <w:rFonts w:ascii="Arial" w:hAnsi="Arial" w:cs="Arial"/>
          <w:color w:val="000000"/>
          <w:sz w:val="22"/>
          <w:szCs w:val="22"/>
        </w:rPr>
        <w:t>13: Assess Patients with Special Needs: Assess the treatment needs of patients with special needs. </w:t>
      </w:r>
    </w:p>
    <w:p w:rsidR="0042795F" w:rsidRDefault="0042795F" w:rsidP="0042795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20: Provide oral health care within the scope of general dentistry to include periodontal therapy.</w:t>
      </w:r>
    </w:p>
    <w:p w:rsidR="000370D2" w:rsidRPr="0084603D" w:rsidRDefault="000370D2" w:rsidP="0084603D">
      <w:pPr>
        <w:pStyle w:val="NormalWeb"/>
        <w:spacing w:before="0" w:beforeAutospacing="0" w:after="0" w:afterAutospacing="0"/>
        <w:rPr>
          <w:rFonts w:ascii="Arial" w:hAnsi="Arial" w:cs="Arial"/>
          <w:color w:val="000000"/>
          <w:sz w:val="22"/>
          <w:szCs w:val="22"/>
        </w:rPr>
      </w:pPr>
      <w:r w:rsidRPr="0084603D">
        <w:rPr>
          <w:rFonts w:ascii="Arial" w:hAnsi="Arial" w:cs="Arial"/>
          <w:color w:val="000000"/>
          <w:sz w:val="22"/>
          <w:szCs w:val="22"/>
        </w:rPr>
        <w:t>21: Provide oral health care within the scope of general dentistry to include local anesthesia and</w:t>
      </w:r>
    </w:p>
    <w:p w:rsidR="000370D2" w:rsidRPr="0084603D" w:rsidRDefault="000370D2" w:rsidP="000370D2">
      <w:pPr>
        <w:pStyle w:val="NormalWeb"/>
        <w:spacing w:before="0" w:beforeAutospacing="0" w:after="0" w:afterAutospacing="0"/>
        <w:rPr>
          <w:rFonts w:ascii="Arial" w:hAnsi="Arial" w:cs="Arial"/>
          <w:color w:val="000000"/>
          <w:sz w:val="22"/>
          <w:szCs w:val="22"/>
        </w:rPr>
      </w:pPr>
      <w:r w:rsidRPr="0084603D">
        <w:rPr>
          <w:rFonts w:ascii="Arial" w:hAnsi="Arial" w:cs="Arial"/>
          <w:color w:val="000000"/>
          <w:sz w:val="22"/>
          <w:szCs w:val="22"/>
        </w:rPr>
        <w:t>pain and anxiety control.</w:t>
      </w:r>
    </w:p>
    <w:p w:rsidR="0042795F" w:rsidRDefault="0042795F" w:rsidP="0042795F"/>
    <w:p w:rsidR="0042795F" w:rsidRDefault="0042795F" w:rsidP="0042795F">
      <w:pPr>
        <w:pStyle w:val="Heading1"/>
        <w:spacing w:before="400" w:beforeAutospacing="0" w:after="120" w:afterAutospacing="0"/>
      </w:pPr>
      <w:r>
        <w:rPr>
          <w:rFonts w:ascii="Arial" w:hAnsi="Arial" w:cs="Arial"/>
          <w:b w:val="0"/>
          <w:bCs w:val="0"/>
          <w:color w:val="000000"/>
          <w:sz w:val="40"/>
          <w:szCs w:val="40"/>
        </w:rPr>
        <w:t>VIII. Evaluation</w:t>
      </w:r>
    </w:p>
    <w:p w:rsidR="00270BCE" w:rsidRPr="001772EA" w:rsidRDefault="00270BCE" w:rsidP="00270BCE">
      <w:pPr>
        <w:pStyle w:val="NormalWeb"/>
        <w:spacing w:before="180" w:beforeAutospacing="0" w:after="180" w:afterAutospacing="0"/>
        <w:rPr>
          <w:rFonts w:ascii="Arial" w:hAnsi="Arial" w:cs="Arial"/>
        </w:rPr>
      </w:pPr>
      <w:r w:rsidRPr="001772EA">
        <w:rPr>
          <w:rFonts w:ascii="Arial" w:hAnsi="Arial" w:cs="Arial"/>
          <w:color w:val="000000"/>
          <w:sz w:val="22"/>
          <w:szCs w:val="22"/>
        </w:rPr>
        <w:t>A complete overview of clinical grading criteria is provided in the comprehensive clinical course syllabus located in the Documents section of this course in Canvas.</w:t>
      </w:r>
    </w:p>
    <w:p w:rsidR="00270BCE" w:rsidRPr="001772EA" w:rsidRDefault="00270BCE" w:rsidP="00270BCE">
      <w:pPr>
        <w:pStyle w:val="NormalWeb"/>
        <w:spacing w:before="180" w:beforeAutospacing="0" w:after="180" w:afterAutospacing="0"/>
        <w:rPr>
          <w:rFonts w:ascii="Arial" w:hAnsi="Arial" w:cs="Arial"/>
        </w:rPr>
      </w:pPr>
      <w:r w:rsidRPr="001772EA">
        <w:rPr>
          <w:rFonts w:ascii="Arial" w:hAnsi="Arial" w:cs="Arial"/>
          <w:color w:val="000000"/>
          <w:sz w:val="22"/>
          <w:szCs w:val="22"/>
        </w:rPr>
        <w:t xml:space="preserve">Student Evaluation of Instruction: Students are expected to provide professional and respectful feedback on the quality of instruction in this course by completing course evaluations online via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Guidance on how to give feedback in a professional and respectful manner is available at </w:t>
      </w:r>
      <w:hyperlink r:id="rId7" w:history="1">
        <w:r w:rsidRPr="001772EA">
          <w:rPr>
            <w:rStyle w:val="Hyperlink"/>
            <w:rFonts w:ascii="Arial" w:hAnsi="Arial" w:cs="Arial"/>
            <w:color w:val="1155CC"/>
            <w:sz w:val="22"/>
            <w:szCs w:val="22"/>
          </w:rPr>
          <w:t>https://ufl.bluera.com/ufl/</w:t>
        </w:r>
      </w:hyperlink>
      <w:r w:rsidRPr="001772EA">
        <w:rPr>
          <w:rFonts w:ascii="Arial" w:hAnsi="Arial" w:cs="Arial"/>
          <w:color w:val="000000"/>
          <w:sz w:val="22"/>
          <w:szCs w:val="22"/>
        </w:rPr>
        <w:t xml:space="preserve">. Students will be notified when the evaluation period </w:t>
      </w:r>
      <w:r w:rsidRPr="001772EA">
        <w:rPr>
          <w:rFonts w:ascii="Arial" w:hAnsi="Arial" w:cs="Arial"/>
          <w:color w:val="000000"/>
          <w:sz w:val="22"/>
          <w:szCs w:val="22"/>
        </w:rPr>
        <w:lastRenderedPageBreak/>
        <w:t xml:space="preserve">opens, and can complete evaluations through the email they receive from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in their Canvas course menu under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or via </w:t>
      </w:r>
      <w:hyperlink r:id="rId8" w:history="1">
        <w:r w:rsidRPr="001772EA">
          <w:rPr>
            <w:rStyle w:val="Hyperlink"/>
            <w:rFonts w:ascii="Arial" w:hAnsi="Arial" w:cs="Arial"/>
            <w:color w:val="1155CC"/>
            <w:sz w:val="22"/>
            <w:szCs w:val="22"/>
          </w:rPr>
          <w:t>https://ufl.bluera.com/ufl/</w:t>
        </w:r>
      </w:hyperlink>
      <w:r w:rsidRPr="001772EA">
        <w:rPr>
          <w:rFonts w:ascii="Arial" w:hAnsi="Arial" w:cs="Arial"/>
          <w:color w:val="000000"/>
          <w:sz w:val="22"/>
          <w:szCs w:val="22"/>
        </w:rPr>
        <w:t xml:space="preserve">. Summaries of course evaluation results are available to students at </w:t>
      </w:r>
      <w:hyperlink r:id="rId9" w:history="1">
        <w:r w:rsidRPr="001772EA">
          <w:rPr>
            <w:rStyle w:val="Hyperlink"/>
            <w:rFonts w:ascii="Arial" w:hAnsi="Arial" w:cs="Arial"/>
            <w:color w:val="1155CC"/>
            <w:sz w:val="22"/>
            <w:szCs w:val="22"/>
          </w:rPr>
          <w:t>https://gatorevals.aa.ufl.edu/public-results/</w:t>
        </w:r>
      </w:hyperlink>
      <w:r w:rsidRPr="001772EA">
        <w:rPr>
          <w:rFonts w:ascii="Arial" w:hAnsi="Arial" w:cs="Arial"/>
          <w:color w:val="000000"/>
          <w:sz w:val="22"/>
          <w:szCs w:val="22"/>
        </w:rPr>
        <w:t>.</w:t>
      </w:r>
    </w:p>
    <w:p w:rsidR="00270BCE" w:rsidRDefault="00270BCE" w:rsidP="0042795F">
      <w:pPr>
        <w:pStyle w:val="Heading1"/>
        <w:shd w:val="clear" w:color="auto" w:fill="FFFFFF"/>
        <w:spacing w:before="0" w:beforeAutospacing="0" w:after="0" w:afterAutospacing="0"/>
        <w:rPr>
          <w:rFonts w:ascii="Arial" w:hAnsi="Arial" w:cs="Arial"/>
          <w:b w:val="0"/>
          <w:bCs w:val="0"/>
          <w:color w:val="000000"/>
          <w:sz w:val="40"/>
          <w:szCs w:val="40"/>
        </w:rPr>
      </w:pPr>
    </w:p>
    <w:p w:rsidR="0042795F" w:rsidRDefault="0042795F" w:rsidP="0042795F">
      <w:pPr>
        <w:pStyle w:val="Heading1"/>
        <w:shd w:val="clear" w:color="auto" w:fill="FFFFFF"/>
        <w:spacing w:before="0" w:beforeAutospacing="0" w:after="0" w:afterAutospacing="0"/>
      </w:pPr>
      <w:r>
        <w:rPr>
          <w:rFonts w:ascii="Arial" w:hAnsi="Arial" w:cs="Arial"/>
          <w:b w:val="0"/>
          <w:bCs w:val="0"/>
          <w:color w:val="000000"/>
          <w:sz w:val="40"/>
          <w:szCs w:val="40"/>
        </w:rPr>
        <w:t>IX. Administrative Practices</w:t>
      </w:r>
    </w:p>
    <w:p w:rsidR="00270BCE" w:rsidRPr="001772EA" w:rsidRDefault="00270BCE" w:rsidP="00270BCE">
      <w:pPr>
        <w:rPr>
          <w:rFonts w:ascii="Arial" w:hAnsi="Arial" w:cs="Arial"/>
        </w:rPr>
      </w:pPr>
      <w:r w:rsidRPr="001772EA">
        <w:rPr>
          <w:rFonts w:ascii="Arial" w:hAnsi="Arial" w:cs="Arial"/>
          <w:color w:val="00000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 </w:t>
      </w:r>
      <w:hyperlink r:id="rId10" w:history="1">
        <w:r w:rsidRPr="001772EA">
          <w:rPr>
            <w:rStyle w:val="Hyperlink"/>
            <w:rFonts w:ascii="Arial" w:hAnsi="Arial" w:cs="Arial"/>
          </w:rPr>
          <w:t>https://dental.ufl.edu/education/dmd-program/course-policies/</w:t>
        </w:r>
      </w:hyperlink>
      <w:r w:rsidRPr="001772EA">
        <w:rPr>
          <w:rFonts w:ascii="Arial" w:hAnsi="Arial" w:cs="Arial"/>
        </w:rPr>
        <w:t> </w:t>
      </w:r>
    </w:p>
    <w:p w:rsidR="0042795F" w:rsidRDefault="0042795F" w:rsidP="0042795F"/>
    <w:p w:rsidR="0042795F" w:rsidRDefault="0042795F" w:rsidP="0042795F">
      <w:pPr>
        <w:pStyle w:val="Heading1"/>
        <w:spacing w:before="400" w:beforeAutospacing="0" w:after="120" w:afterAutospacing="0"/>
      </w:pPr>
      <w:r>
        <w:rPr>
          <w:rFonts w:ascii="Arial" w:hAnsi="Arial" w:cs="Arial"/>
          <w:b w:val="0"/>
          <w:bCs w:val="0"/>
          <w:color w:val="000000"/>
          <w:sz w:val="40"/>
          <w:szCs w:val="40"/>
        </w:rPr>
        <w:t>X. Grade Scale</w:t>
      </w:r>
    </w:p>
    <w:p w:rsidR="0042795F" w:rsidRDefault="0042795F" w:rsidP="0042795F"/>
    <w:tbl>
      <w:tblPr>
        <w:tblW w:w="4195" w:type="dxa"/>
        <w:jc w:val="center"/>
        <w:tblLayout w:type="fixed"/>
        <w:tblLook w:val="0600" w:firstRow="0" w:lastRow="0" w:firstColumn="0" w:lastColumn="0" w:noHBand="1" w:noVBand="1"/>
      </w:tblPr>
      <w:tblGrid>
        <w:gridCol w:w="377"/>
        <w:gridCol w:w="673"/>
        <w:gridCol w:w="1690"/>
        <w:gridCol w:w="1455"/>
      </w:tblGrid>
      <w:tr w:rsidR="00270BCE" w:rsidRPr="00D93E48" w:rsidTr="009E33CC">
        <w:trPr>
          <w:trHeight w:val="134"/>
          <w:jc w:val="center"/>
        </w:trPr>
        <w:tc>
          <w:tcPr>
            <w:tcW w:w="1050" w:type="dxa"/>
            <w:gridSpan w:val="2"/>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Letter Grade</w:t>
            </w:r>
          </w:p>
        </w:tc>
        <w:tc>
          <w:tcPr>
            <w:tcW w:w="1690"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4 Point Scale</w:t>
            </w:r>
          </w:p>
        </w:tc>
        <w:tc>
          <w:tcPr>
            <w:tcW w:w="1455"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Percentage Scale</w:t>
            </w:r>
          </w:p>
        </w:tc>
      </w:tr>
      <w:tr w:rsidR="00270BCE" w:rsidRPr="00D93E48" w:rsidTr="009E33CC">
        <w:trPr>
          <w:trHeight w:val="13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3.80 - 4.00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96 - 100</w:t>
            </w:r>
          </w:p>
        </w:tc>
      </w:tr>
      <w:tr w:rsidR="00270BCE" w:rsidRPr="00D93E48" w:rsidTr="009E33CC">
        <w:trPr>
          <w:trHeight w:val="14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3.60 - 3.79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92 - 95</w:t>
            </w:r>
          </w:p>
        </w:tc>
      </w:tr>
      <w:tr w:rsidR="00270BCE" w:rsidRPr="00D93E48" w:rsidTr="009E33CC">
        <w:trPr>
          <w:trHeight w:val="145"/>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3.40 - 3.59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89 - 91</w:t>
            </w:r>
          </w:p>
        </w:tc>
      </w:tr>
      <w:tr w:rsidR="00270BCE" w:rsidRPr="00D93E48" w:rsidTr="009E33CC">
        <w:trPr>
          <w:trHeight w:val="89"/>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3.20 - 3.39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85 - 88</w:t>
            </w:r>
          </w:p>
        </w:tc>
      </w:tr>
      <w:tr w:rsidR="00270BCE" w:rsidRPr="00D93E48" w:rsidTr="009E33CC">
        <w:trPr>
          <w:trHeight w:val="9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3.0 - 3.19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81 - 84</w:t>
            </w:r>
          </w:p>
        </w:tc>
      </w:tr>
      <w:tr w:rsidR="00270BCE" w:rsidRPr="00D93E48" w:rsidTr="009E33CC">
        <w:trPr>
          <w:trHeight w:val="10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2.80 - 2.99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77 - 80</w:t>
            </w:r>
          </w:p>
        </w:tc>
      </w:tr>
      <w:tr w:rsidR="00270BCE" w:rsidRPr="00D93E48" w:rsidTr="009E33CC">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2.50 - 2.79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72 - 76</w:t>
            </w:r>
          </w:p>
        </w:tc>
      </w:tr>
      <w:tr w:rsidR="00270BCE" w:rsidRPr="00D93E48" w:rsidTr="009E33CC">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270BCE" w:rsidRPr="00D93E48" w:rsidRDefault="00270BCE"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E</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2.50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0BCE" w:rsidRPr="00D93E48" w:rsidRDefault="00270BCE"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72</w:t>
            </w:r>
          </w:p>
        </w:tc>
      </w:tr>
    </w:tbl>
    <w:p w:rsidR="0042795F" w:rsidRDefault="0042795F">
      <w:r>
        <w:br/>
      </w:r>
    </w:p>
    <w:sectPr w:rsidR="0042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70F"/>
    <w:multiLevelType w:val="multilevel"/>
    <w:tmpl w:val="0BF4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01A71"/>
    <w:multiLevelType w:val="multilevel"/>
    <w:tmpl w:val="2E1E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F8A"/>
    <w:multiLevelType w:val="multilevel"/>
    <w:tmpl w:val="8BEE92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D143136"/>
    <w:multiLevelType w:val="hybridMultilevel"/>
    <w:tmpl w:val="1B8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3191F"/>
    <w:multiLevelType w:val="hybridMultilevel"/>
    <w:tmpl w:val="B99C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24F97"/>
    <w:multiLevelType w:val="multilevel"/>
    <w:tmpl w:val="1BC49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77BFD"/>
    <w:multiLevelType w:val="hybridMultilevel"/>
    <w:tmpl w:val="F74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6030F"/>
    <w:multiLevelType w:val="multilevel"/>
    <w:tmpl w:val="1AE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437F0"/>
    <w:multiLevelType w:val="multilevel"/>
    <w:tmpl w:val="8662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CF212A"/>
    <w:multiLevelType w:val="multilevel"/>
    <w:tmpl w:val="F34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77761"/>
    <w:multiLevelType w:val="multilevel"/>
    <w:tmpl w:val="3B6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C66E2"/>
    <w:multiLevelType w:val="multilevel"/>
    <w:tmpl w:val="8D3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1"/>
  </w:num>
  <w:num w:numId="5">
    <w:abstractNumId w:val="2"/>
  </w:num>
  <w:num w:numId="6">
    <w:abstractNumId w:val="9"/>
  </w:num>
  <w:num w:numId="7">
    <w:abstractNumId w:val="4"/>
  </w:num>
  <w:num w:numId="8">
    <w:abstractNumId w:val="6"/>
  </w:num>
  <w:num w:numId="9">
    <w:abstractNumId w:val="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5F"/>
    <w:rsid w:val="000370D2"/>
    <w:rsid w:val="000718FD"/>
    <w:rsid w:val="000B3CD3"/>
    <w:rsid w:val="000C098D"/>
    <w:rsid w:val="001B17D5"/>
    <w:rsid w:val="001C1336"/>
    <w:rsid w:val="00270BCE"/>
    <w:rsid w:val="004108D6"/>
    <w:rsid w:val="0042795F"/>
    <w:rsid w:val="00446D63"/>
    <w:rsid w:val="005175CA"/>
    <w:rsid w:val="00684299"/>
    <w:rsid w:val="00733182"/>
    <w:rsid w:val="007A7C44"/>
    <w:rsid w:val="007F4472"/>
    <w:rsid w:val="0084603D"/>
    <w:rsid w:val="00887DF0"/>
    <w:rsid w:val="0093428D"/>
    <w:rsid w:val="00BD3ABB"/>
    <w:rsid w:val="00C653DF"/>
    <w:rsid w:val="00CD1871"/>
    <w:rsid w:val="00DB371A"/>
    <w:rsid w:val="00DD7A82"/>
    <w:rsid w:val="00E363F2"/>
    <w:rsid w:val="00EA5310"/>
    <w:rsid w:val="00EF5814"/>
    <w:rsid w:val="00F65238"/>
    <w:rsid w:val="00FD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C8B"/>
  <w15:chartTrackingRefBased/>
  <w15:docId w15:val="{ED437F48-A54E-43BF-950E-CF9405FA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7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iPriority w:val="9"/>
    <w:unhideWhenUsed/>
    <w:qFormat/>
    <w:rsid w:val="00887DF0"/>
    <w:pPr>
      <w:keepNext/>
      <w:keepLines/>
      <w:spacing w:before="40" w:after="0" w:line="276" w:lineRule="auto"/>
      <w:outlineLvl w:val="6"/>
    </w:pPr>
    <w:rPr>
      <w:rFonts w:asciiTheme="majorHAnsi" w:eastAsiaTheme="majorEastAsia" w:hAnsiTheme="majorHAnsi" w:cstheme="majorBidi"/>
      <w:i/>
      <w:iCs/>
      <w:color w:val="1F3763" w:themeColor="accent1" w:themeShade="7F"/>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95F"/>
    <w:rPr>
      <w:rFonts w:ascii="Times New Roman" w:eastAsia="Times New Roman" w:hAnsi="Times New Roman" w:cs="Times New Roman"/>
      <w:b/>
      <w:bCs/>
      <w:sz w:val="36"/>
      <w:szCs w:val="36"/>
    </w:rPr>
  </w:style>
  <w:style w:type="paragraph" w:styleId="NormalWeb">
    <w:name w:val="Normal (Web)"/>
    <w:basedOn w:val="Normal"/>
    <w:uiPriority w:val="99"/>
    <w:unhideWhenUsed/>
    <w:rsid w:val="00427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95F"/>
    <w:rPr>
      <w:color w:val="0000FF"/>
      <w:u w:val="single"/>
    </w:rPr>
  </w:style>
  <w:style w:type="paragraph" w:styleId="NoSpacing">
    <w:name w:val="No Spacing"/>
    <w:uiPriority w:val="1"/>
    <w:qFormat/>
    <w:rsid w:val="00C653DF"/>
    <w:pPr>
      <w:spacing w:after="0" w:line="240" w:lineRule="auto"/>
    </w:pPr>
    <w:rPr>
      <w:rFonts w:eastAsiaTheme="minorEastAsia"/>
    </w:rPr>
  </w:style>
  <w:style w:type="table" w:styleId="TableGrid">
    <w:name w:val="Table Grid"/>
    <w:basedOn w:val="TableNormal"/>
    <w:uiPriority w:val="39"/>
    <w:rsid w:val="00C653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DF"/>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7Char">
    <w:name w:val="Heading 7 Char"/>
    <w:basedOn w:val="DefaultParagraphFont"/>
    <w:link w:val="Heading7"/>
    <w:uiPriority w:val="9"/>
    <w:rsid w:val="00887DF0"/>
    <w:rPr>
      <w:rFonts w:asciiTheme="majorHAnsi" w:eastAsiaTheme="majorEastAsia" w:hAnsiTheme="majorHAnsi" w:cstheme="majorBidi"/>
      <w:i/>
      <w:iCs/>
      <w:color w:val="1F3763" w:themeColor="accent1" w:themeShade="7F"/>
      <w:lang w:val="en"/>
    </w:rPr>
  </w:style>
  <w:style w:type="paragraph" w:styleId="ListParagraph">
    <w:name w:val="List Paragraph"/>
    <w:basedOn w:val="Normal"/>
    <w:uiPriority w:val="34"/>
    <w:qFormat/>
    <w:rsid w:val="00FD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4370">
      <w:bodyDiv w:val="1"/>
      <w:marLeft w:val="0"/>
      <w:marRight w:val="0"/>
      <w:marTop w:val="0"/>
      <w:marBottom w:val="0"/>
      <w:divBdr>
        <w:top w:val="none" w:sz="0" w:space="0" w:color="auto"/>
        <w:left w:val="none" w:sz="0" w:space="0" w:color="auto"/>
        <w:bottom w:val="none" w:sz="0" w:space="0" w:color="auto"/>
        <w:right w:val="none" w:sz="0" w:space="0" w:color="auto"/>
      </w:divBdr>
    </w:div>
    <w:div w:id="8541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bluera.com/ufl/" TargetMode="External"/><Relationship Id="rId3" Type="http://schemas.openxmlformats.org/officeDocument/2006/relationships/settings" Target="settings.xml"/><Relationship Id="rId7" Type="http://schemas.openxmlformats.org/officeDocument/2006/relationships/hyperlink" Target="https://gatorevals.aa.ufl.edu/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ufl.edu/wordpress/files/2020/09/COMPETENCIES_FOR_THE_NEW_DENTAL_GRADUATE_2020.pdf" TargetMode="External"/><Relationship Id="rId11" Type="http://schemas.openxmlformats.org/officeDocument/2006/relationships/fontTable" Target="fontTable.xml"/><Relationship Id="rId5" Type="http://schemas.openxmlformats.org/officeDocument/2006/relationships/hyperlink" Target="http://guides.uflib.ufl.edu/dental" TargetMode="External"/><Relationship Id="rId10" Type="http://schemas.openxmlformats.org/officeDocument/2006/relationships/hyperlink" Target="https://dental.ufl.edu/education/dmd-program/course-policies/" TargetMode="Externa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Alline Teles</dc:creator>
  <cp:keywords/>
  <dc:description/>
  <cp:lastModifiedBy>Alline Teles</cp:lastModifiedBy>
  <cp:revision>5</cp:revision>
  <dcterms:created xsi:type="dcterms:W3CDTF">2021-06-25T13:54:00Z</dcterms:created>
  <dcterms:modified xsi:type="dcterms:W3CDTF">2021-07-02T17:27:00Z</dcterms:modified>
</cp:coreProperties>
</file>