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B3" w:rsidRDefault="00796C5F">
      <w:pPr>
        <w:pStyle w:val="Title"/>
        <w:spacing w:before="100" w:after="100"/>
      </w:pPr>
      <w:bookmarkStart w:id="0" w:name="_heading=h.gjdgxs" w:colFirst="0" w:colLast="0"/>
      <w:bookmarkEnd w:id="0"/>
      <w:r>
        <w:t>DEN5100C:  Gross Anatomy</w:t>
      </w:r>
    </w:p>
    <w:p w:rsidR="005256B3" w:rsidRDefault="00796C5F">
      <w:pPr>
        <w:pStyle w:val="Subtitle"/>
        <w:spacing w:before="100" w:after="100"/>
      </w:pPr>
      <w:bookmarkStart w:id="1" w:name="_heading=h.30j0zll" w:colFirst="0" w:colLast="0"/>
      <w:bookmarkEnd w:id="1"/>
      <w:r>
        <w:t>Fall 2021</w:t>
      </w:r>
    </w:p>
    <w:p w:rsidR="005256B3" w:rsidRDefault="005256B3">
      <w:pPr>
        <w:spacing w:before="100" w:after="100"/>
        <w:rPr>
          <w:sz w:val="24"/>
          <w:szCs w:val="24"/>
        </w:rPr>
      </w:pPr>
    </w:p>
    <w:p w:rsidR="005256B3" w:rsidRDefault="00796C5F">
      <w:pPr>
        <w:pStyle w:val="Heading1"/>
        <w:spacing w:before="100" w:after="100"/>
      </w:pPr>
      <w:bookmarkStart w:id="2" w:name="_heading=h.1fob9te" w:colFirst="0" w:colLast="0"/>
      <w:bookmarkEnd w:id="2"/>
      <w:r>
        <w:t>Course Description:</w:t>
      </w:r>
    </w:p>
    <w:p w:rsidR="005256B3" w:rsidRDefault="00796C5F">
      <w:pPr>
        <w:spacing w:before="100" w:after="100"/>
        <w:rPr>
          <w:sz w:val="24"/>
          <w:szCs w:val="24"/>
        </w:rPr>
      </w:pPr>
      <w:r>
        <w:rPr>
          <w:sz w:val="24"/>
          <w:szCs w:val="24"/>
        </w:rPr>
        <w:t>Basic macroscopic anatomical structure and functions of the human body, with emphasis on the head and neck will be presented thorough lectures, laboratory dissections and discussion sessions.  This information serves as the foundation for understanding normal functions of the head, neck and oral structures as well as disorders related to those structures.</w:t>
      </w:r>
    </w:p>
    <w:p w:rsidR="005256B3" w:rsidRDefault="00796C5F">
      <w:pPr>
        <w:pStyle w:val="Heading2"/>
      </w:pPr>
      <w:bookmarkStart w:id="3" w:name="_heading=h.3znysh7" w:colFirst="0" w:colLast="0"/>
      <w:bookmarkEnd w:id="3"/>
      <w:r>
        <w:t>General Information</w:t>
      </w:r>
    </w:p>
    <w:tbl>
      <w:tblPr>
        <w:tblStyle w:val="a2"/>
        <w:tblW w:w="4450" w:type="dxa"/>
        <w:tblBorders>
          <w:top w:val="nil"/>
          <w:left w:val="nil"/>
          <w:bottom w:val="nil"/>
          <w:right w:val="nil"/>
          <w:insideH w:val="nil"/>
          <w:insideV w:val="nil"/>
        </w:tblBorders>
        <w:tblLayout w:type="fixed"/>
        <w:tblLook w:val="0600" w:firstRow="0" w:lastRow="0" w:firstColumn="0" w:lastColumn="0" w:noHBand="1" w:noVBand="1"/>
      </w:tblPr>
      <w:tblGrid>
        <w:gridCol w:w="2090"/>
        <w:gridCol w:w="2360"/>
      </w:tblGrid>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 xml:space="preserve">Course Director:  </w:t>
            </w:r>
          </w:p>
        </w:tc>
        <w:tc>
          <w:tcPr>
            <w:tcW w:w="2360" w:type="dxa"/>
            <w:tcMar>
              <w:top w:w="100" w:type="dxa"/>
              <w:left w:w="100" w:type="dxa"/>
              <w:bottom w:w="100" w:type="dxa"/>
              <w:right w:w="100" w:type="dxa"/>
            </w:tcMar>
          </w:tcPr>
          <w:p w:rsidR="005256B3" w:rsidRDefault="00796C5F">
            <w:pPr>
              <w:rPr>
                <w:sz w:val="24"/>
                <w:szCs w:val="24"/>
              </w:rPr>
            </w:pPr>
            <w:r>
              <w:rPr>
                <w:sz w:val="24"/>
                <w:szCs w:val="24"/>
              </w:rPr>
              <w:t>Venkatesh Nonabur</w:t>
            </w:r>
          </w:p>
        </w:tc>
      </w:tr>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 xml:space="preserve">Office:             </w:t>
            </w:r>
          </w:p>
        </w:tc>
        <w:tc>
          <w:tcPr>
            <w:tcW w:w="2360" w:type="dxa"/>
            <w:tcMar>
              <w:top w:w="100" w:type="dxa"/>
              <w:left w:w="100" w:type="dxa"/>
              <w:bottom w:w="100" w:type="dxa"/>
              <w:right w:w="100" w:type="dxa"/>
            </w:tcMar>
          </w:tcPr>
          <w:p w:rsidR="005256B3" w:rsidRDefault="00796C5F">
            <w:pPr>
              <w:rPr>
                <w:sz w:val="24"/>
                <w:szCs w:val="24"/>
              </w:rPr>
            </w:pPr>
            <w:r>
              <w:rPr>
                <w:sz w:val="24"/>
                <w:szCs w:val="24"/>
              </w:rPr>
              <w:t>D2-32</w:t>
            </w:r>
          </w:p>
        </w:tc>
      </w:tr>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Email:</w:t>
            </w:r>
          </w:p>
        </w:tc>
        <w:tc>
          <w:tcPr>
            <w:tcW w:w="2360" w:type="dxa"/>
            <w:tcMar>
              <w:top w:w="100" w:type="dxa"/>
              <w:left w:w="100" w:type="dxa"/>
              <w:bottom w:w="100" w:type="dxa"/>
              <w:right w:w="100" w:type="dxa"/>
            </w:tcMar>
          </w:tcPr>
          <w:p w:rsidR="005256B3" w:rsidRDefault="00796C5F">
            <w:pPr>
              <w:rPr>
                <w:sz w:val="24"/>
                <w:szCs w:val="24"/>
              </w:rPr>
            </w:pPr>
            <w:r>
              <w:rPr>
                <w:sz w:val="24"/>
                <w:szCs w:val="24"/>
              </w:rPr>
              <w:t>nonabur@ufl.edu</w:t>
            </w:r>
          </w:p>
        </w:tc>
      </w:tr>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Phone:</w:t>
            </w:r>
          </w:p>
        </w:tc>
        <w:tc>
          <w:tcPr>
            <w:tcW w:w="2360" w:type="dxa"/>
            <w:tcMar>
              <w:top w:w="100" w:type="dxa"/>
              <w:left w:w="100" w:type="dxa"/>
              <w:bottom w:w="100" w:type="dxa"/>
              <w:right w:w="100" w:type="dxa"/>
            </w:tcMar>
          </w:tcPr>
          <w:p w:rsidR="005256B3" w:rsidRDefault="00796C5F">
            <w:pPr>
              <w:rPr>
                <w:sz w:val="24"/>
                <w:szCs w:val="24"/>
              </w:rPr>
            </w:pPr>
            <w:r>
              <w:rPr>
                <w:sz w:val="24"/>
                <w:szCs w:val="24"/>
              </w:rPr>
              <w:t>(352) 273-9393</w:t>
            </w:r>
          </w:p>
        </w:tc>
      </w:tr>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Course Credits:</w:t>
            </w:r>
          </w:p>
        </w:tc>
        <w:tc>
          <w:tcPr>
            <w:tcW w:w="2360" w:type="dxa"/>
            <w:tcMar>
              <w:top w:w="100" w:type="dxa"/>
              <w:left w:w="100" w:type="dxa"/>
              <w:bottom w:w="100" w:type="dxa"/>
              <w:right w:w="100" w:type="dxa"/>
            </w:tcMar>
          </w:tcPr>
          <w:p w:rsidR="005256B3" w:rsidRDefault="00796C5F">
            <w:pPr>
              <w:rPr>
                <w:sz w:val="24"/>
                <w:szCs w:val="24"/>
              </w:rPr>
            </w:pPr>
            <w:r>
              <w:rPr>
                <w:sz w:val="24"/>
                <w:szCs w:val="24"/>
              </w:rPr>
              <w:t>4</w:t>
            </w:r>
          </w:p>
        </w:tc>
      </w:tr>
      <w:tr w:rsidR="005256B3">
        <w:trPr>
          <w:trHeight w:val="485"/>
        </w:trPr>
        <w:tc>
          <w:tcPr>
            <w:tcW w:w="2090" w:type="dxa"/>
            <w:tcMar>
              <w:top w:w="100" w:type="dxa"/>
              <w:left w:w="100" w:type="dxa"/>
              <w:bottom w:w="100" w:type="dxa"/>
              <w:right w:w="100" w:type="dxa"/>
            </w:tcMar>
          </w:tcPr>
          <w:p w:rsidR="005256B3" w:rsidRDefault="00796C5F">
            <w:pPr>
              <w:rPr>
                <w:sz w:val="24"/>
                <w:szCs w:val="24"/>
              </w:rPr>
            </w:pPr>
            <w:r>
              <w:rPr>
                <w:sz w:val="24"/>
                <w:szCs w:val="24"/>
              </w:rPr>
              <w:t>Semester:</w:t>
            </w:r>
          </w:p>
        </w:tc>
        <w:tc>
          <w:tcPr>
            <w:tcW w:w="2360" w:type="dxa"/>
            <w:tcMar>
              <w:top w:w="100" w:type="dxa"/>
              <w:left w:w="100" w:type="dxa"/>
              <w:bottom w:w="100" w:type="dxa"/>
              <w:right w:w="100" w:type="dxa"/>
            </w:tcMar>
          </w:tcPr>
          <w:p w:rsidR="005256B3" w:rsidRDefault="00796C5F">
            <w:pPr>
              <w:rPr>
                <w:sz w:val="24"/>
                <w:szCs w:val="24"/>
              </w:rPr>
            </w:pPr>
            <w:r>
              <w:rPr>
                <w:sz w:val="24"/>
                <w:szCs w:val="24"/>
              </w:rPr>
              <w:t>Fall</w:t>
            </w:r>
          </w:p>
        </w:tc>
      </w:tr>
    </w:tbl>
    <w:p w:rsidR="005256B3" w:rsidRDefault="005256B3">
      <w:pPr>
        <w:spacing w:before="100" w:after="100"/>
        <w:rPr>
          <w:sz w:val="24"/>
          <w:szCs w:val="24"/>
        </w:rPr>
      </w:pPr>
    </w:p>
    <w:p w:rsidR="005256B3" w:rsidRDefault="00796C5F">
      <w:pPr>
        <w:pStyle w:val="Heading2"/>
        <w:spacing w:before="100" w:after="100"/>
      </w:pPr>
      <w:bookmarkStart w:id="4" w:name="_heading=h.2et92p0" w:colFirst="0" w:colLast="0"/>
      <w:bookmarkEnd w:id="4"/>
      <w:r>
        <w:t>Contributing Faculty</w:t>
      </w:r>
    </w:p>
    <w:tbl>
      <w:tblPr>
        <w:tblStyle w:val="a3"/>
        <w:tblW w:w="7250" w:type="dxa"/>
        <w:tblBorders>
          <w:top w:val="nil"/>
          <w:left w:val="nil"/>
          <w:bottom w:val="nil"/>
          <w:right w:val="nil"/>
          <w:insideH w:val="nil"/>
          <w:insideV w:val="nil"/>
        </w:tblBorders>
        <w:tblLayout w:type="fixed"/>
        <w:tblLook w:val="0600" w:firstRow="0" w:lastRow="0" w:firstColumn="0" w:lastColumn="0" w:noHBand="1" w:noVBand="1"/>
      </w:tblPr>
      <w:tblGrid>
        <w:gridCol w:w="2750"/>
        <w:gridCol w:w="350"/>
        <w:gridCol w:w="1985"/>
        <w:gridCol w:w="2165"/>
      </w:tblGrid>
      <w:tr w:rsidR="005256B3">
        <w:trPr>
          <w:trHeight w:val="485"/>
        </w:trPr>
        <w:tc>
          <w:tcPr>
            <w:tcW w:w="2750" w:type="dxa"/>
            <w:tcMar>
              <w:top w:w="100" w:type="dxa"/>
              <w:left w:w="100" w:type="dxa"/>
              <w:bottom w:w="100" w:type="dxa"/>
              <w:right w:w="100" w:type="dxa"/>
            </w:tcMar>
          </w:tcPr>
          <w:p w:rsidR="005256B3" w:rsidRDefault="005256B3">
            <w:pPr>
              <w:rPr>
                <w:sz w:val="24"/>
                <w:szCs w:val="24"/>
              </w:rPr>
            </w:pPr>
          </w:p>
        </w:tc>
        <w:tc>
          <w:tcPr>
            <w:tcW w:w="350" w:type="dxa"/>
            <w:tcMar>
              <w:top w:w="100" w:type="dxa"/>
              <w:left w:w="100" w:type="dxa"/>
              <w:bottom w:w="100" w:type="dxa"/>
              <w:right w:w="100" w:type="dxa"/>
            </w:tcMar>
          </w:tcPr>
          <w:p w:rsidR="005256B3" w:rsidRDefault="005256B3">
            <w:pPr>
              <w:rPr>
                <w:sz w:val="24"/>
                <w:szCs w:val="24"/>
              </w:rPr>
            </w:pPr>
          </w:p>
        </w:tc>
        <w:tc>
          <w:tcPr>
            <w:tcW w:w="1985" w:type="dxa"/>
            <w:tcMar>
              <w:top w:w="100" w:type="dxa"/>
              <w:left w:w="100" w:type="dxa"/>
              <w:bottom w:w="100" w:type="dxa"/>
              <w:right w:w="100" w:type="dxa"/>
            </w:tcMar>
          </w:tcPr>
          <w:p w:rsidR="005256B3" w:rsidRDefault="005256B3">
            <w:pPr>
              <w:rPr>
                <w:sz w:val="24"/>
                <w:szCs w:val="24"/>
              </w:rPr>
            </w:pPr>
          </w:p>
        </w:tc>
        <w:tc>
          <w:tcPr>
            <w:tcW w:w="2165" w:type="dxa"/>
            <w:tcMar>
              <w:top w:w="100" w:type="dxa"/>
              <w:left w:w="100" w:type="dxa"/>
              <w:bottom w:w="100" w:type="dxa"/>
              <w:right w:w="100" w:type="dxa"/>
            </w:tcMar>
          </w:tcPr>
          <w:p w:rsidR="005256B3" w:rsidRDefault="005256B3">
            <w:pPr>
              <w:rPr>
                <w:sz w:val="24"/>
                <w:szCs w:val="24"/>
              </w:rPr>
            </w:pPr>
          </w:p>
        </w:tc>
      </w:tr>
      <w:tr w:rsidR="005256B3">
        <w:trPr>
          <w:trHeight w:val="485"/>
        </w:trPr>
        <w:tc>
          <w:tcPr>
            <w:tcW w:w="2750" w:type="dxa"/>
            <w:tcMar>
              <w:top w:w="100" w:type="dxa"/>
              <w:left w:w="100" w:type="dxa"/>
              <w:bottom w:w="100" w:type="dxa"/>
              <w:right w:w="100" w:type="dxa"/>
            </w:tcMar>
          </w:tcPr>
          <w:p w:rsidR="005256B3" w:rsidRDefault="00796C5F">
            <w:pPr>
              <w:rPr>
                <w:sz w:val="24"/>
                <w:szCs w:val="24"/>
              </w:rPr>
            </w:pPr>
            <w:r>
              <w:rPr>
                <w:sz w:val="24"/>
                <w:szCs w:val="24"/>
              </w:rPr>
              <w:t xml:space="preserve">Kyle E Rarey  </w:t>
            </w:r>
          </w:p>
        </w:tc>
        <w:tc>
          <w:tcPr>
            <w:tcW w:w="350" w:type="dxa"/>
            <w:tcMar>
              <w:top w:w="100" w:type="dxa"/>
              <w:left w:w="100" w:type="dxa"/>
              <w:bottom w:w="100" w:type="dxa"/>
              <w:right w:w="100" w:type="dxa"/>
            </w:tcMar>
          </w:tcPr>
          <w:p w:rsidR="005256B3" w:rsidRDefault="00796C5F">
            <w:pPr>
              <w:rPr>
                <w:sz w:val="24"/>
                <w:szCs w:val="24"/>
              </w:rPr>
            </w:pPr>
            <w:r>
              <w:rPr>
                <w:sz w:val="24"/>
                <w:szCs w:val="24"/>
              </w:rPr>
              <w:t xml:space="preserve">  </w:t>
            </w:r>
          </w:p>
        </w:tc>
        <w:tc>
          <w:tcPr>
            <w:tcW w:w="1985" w:type="dxa"/>
            <w:tcMar>
              <w:top w:w="100" w:type="dxa"/>
              <w:left w:w="100" w:type="dxa"/>
              <w:bottom w:w="100" w:type="dxa"/>
              <w:right w:w="100" w:type="dxa"/>
            </w:tcMar>
          </w:tcPr>
          <w:p w:rsidR="005256B3" w:rsidRDefault="00796C5F">
            <w:pPr>
              <w:rPr>
                <w:sz w:val="24"/>
                <w:szCs w:val="24"/>
              </w:rPr>
            </w:pPr>
            <w:r>
              <w:rPr>
                <w:sz w:val="24"/>
                <w:szCs w:val="24"/>
              </w:rPr>
              <w:t xml:space="preserve">(352) 273-5753  </w:t>
            </w:r>
          </w:p>
        </w:tc>
        <w:tc>
          <w:tcPr>
            <w:tcW w:w="2165" w:type="dxa"/>
            <w:tcMar>
              <w:top w:w="100" w:type="dxa"/>
              <w:left w:w="100" w:type="dxa"/>
              <w:bottom w:w="100" w:type="dxa"/>
              <w:right w:w="100" w:type="dxa"/>
            </w:tcMar>
          </w:tcPr>
          <w:p w:rsidR="005256B3" w:rsidRDefault="00796C5F">
            <w:pPr>
              <w:rPr>
                <w:sz w:val="24"/>
                <w:szCs w:val="24"/>
              </w:rPr>
            </w:pPr>
            <w:r>
              <w:rPr>
                <w:sz w:val="24"/>
                <w:szCs w:val="24"/>
              </w:rPr>
              <w:t xml:space="preserve">rarey@UFL.EDU  </w:t>
            </w:r>
          </w:p>
        </w:tc>
      </w:tr>
    </w:tbl>
    <w:p w:rsidR="005256B3" w:rsidRDefault="005256B3">
      <w:pPr>
        <w:spacing w:before="100" w:after="100"/>
        <w:rPr>
          <w:sz w:val="24"/>
          <w:szCs w:val="24"/>
        </w:rPr>
      </w:pPr>
    </w:p>
    <w:p w:rsidR="005256B3" w:rsidRDefault="00796C5F">
      <w:pPr>
        <w:pStyle w:val="Heading1"/>
        <w:spacing w:before="100" w:after="100"/>
      </w:pPr>
      <w:bookmarkStart w:id="5" w:name="_heading=h.tyjcwt" w:colFirst="0" w:colLast="0"/>
      <w:bookmarkEnd w:id="5"/>
      <w:r>
        <w:lastRenderedPageBreak/>
        <w:t>II. Course Goals</w:t>
      </w:r>
    </w:p>
    <w:p w:rsidR="005256B3" w:rsidRDefault="00796C5F">
      <w:pPr>
        <w:spacing w:before="100" w:after="100"/>
        <w:rPr>
          <w:sz w:val="24"/>
          <w:szCs w:val="24"/>
        </w:rPr>
      </w:pPr>
      <w:r>
        <w:rPr>
          <w:sz w:val="24"/>
          <w:szCs w:val="24"/>
        </w:rPr>
        <w:t>The goal of this course is to introduce the basic principles and facts relating to gross anatomy of the human body, with emphasis on the head and neck. Knowledge in the anatomical sciences and functional relationships of the body is foundational in the development of competencies for the new dental graduate.</w:t>
      </w:r>
    </w:p>
    <w:p w:rsidR="005256B3" w:rsidRDefault="005256B3">
      <w:pPr>
        <w:spacing w:before="100" w:after="100"/>
        <w:rPr>
          <w:sz w:val="24"/>
          <w:szCs w:val="24"/>
        </w:rPr>
      </w:pPr>
    </w:p>
    <w:p w:rsidR="005256B3" w:rsidRDefault="00796C5F">
      <w:pPr>
        <w:spacing w:before="100" w:after="100"/>
        <w:rPr>
          <w:sz w:val="24"/>
          <w:szCs w:val="24"/>
        </w:rPr>
      </w:pPr>
      <w:r>
        <w:rPr>
          <w:sz w:val="24"/>
          <w:szCs w:val="24"/>
        </w:rPr>
        <w:t>Through the designed learning experiences and course assignments the student will be able to</w:t>
      </w:r>
    </w:p>
    <w:p w:rsidR="005256B3" w:rsidRDefault="00796C5F">
      <w:pPr>
        <w:numPr>
          <w:ilvl w:val="0"/>
          <w:numId w:val="1"/>
        </w:numPr>
        <w:spacing w:before="280"/>
        <w:rPr>
          <w:sz w:val="24"/>
          <w:szCs w:val="24"/>
        </w:rPr>
      </w:pPr>
      <w:r>
        <w:rPr>
          <w:sz w:val="24"/>
          <w:szCs w:val="24"/>
        </w:rPr>
        <w:t>Identify vessels, nerves, muscles, bones and organs of the human body as well as identify specific cells and microanatomical structures in the structural tissues of the body.</w:t>
      </w:r>
    </w:p>
    <w:p w:rsidR="005256B3" w:rsidRDefault="00796C5F">
      <w:pPr>
        <w:numPr>
          <w:ilvl w:val="0"/>
          <w:numId w:val="1"/>
        </w:numPr>
        <w:rPr>
          <w:sz w:val="24"/>
          <w:szCs w:val="24"/>
        </w:rPr>
      </w:pPr>
      <w:r>
        <w:rPr>
          <w:sz w:val="24"/>
          <w:szCs w:val="24"/>
        </w:rPr>
        <w:t>Describe the relationship of vessels, nerves, muscles, bones and organs to each other.</w:t>
      </w:r>
    </w:p>
    <w:p w:rsidR="005256B3" w:rsidRDefault="00796C5F">
      <w:pPr>
        <w:numPr>
          <w:ilvl w:val="0"/>
          <w:numId w:val="1"/>
        </w:numPr>
        <w:rPr>
          <w:sz w:val="24"/>
          <w:szCs w:val="24"/>
        </w:rPr>
      </w:pPr>
      <w:r>
        <w:rPr>
          <w:sz w:val="24"/>
          <w:szCs w:val="24"/>
        </w:rPr>
        <w:t>Demonstrate how the body functions in health.</w:t>
      </w:r>
    </w:p>
    <w:p w:rsidR="005256B3" w:rsidRDefault="00796C5F">
      <w:pPr>
        <w:numPr>
          <w:ilvl w:val="0"/>
          <w:numId w:val="1"/>
        </w:numPr>
        <w:rPr>
          <w:sz w:val="24"/>
          <w:szCs w:val="24"/>
        </w:rPr>
      </w:pPr>
      <w:r>
        <w:rPr>
          <w:sz w:val="24"/>
          <w:szCs w:val="24"/>
        </w:rPr>
        <w:t>Differentiate how the body functions are altered in disease.</w:t>
      </w:r>
    </w:p>
    <w:p w:rsidR="005256B3" w:rsidRDefault="00796C5F">
      <w:pPr>
        <w:numPr>
          <w:ilvl w:val="0"/>
          <w:numId w:val="1"/>
        </w:numPr>
        <w:rPr>
          <w:sz w:val="24"/>
          <w:szCs w:val="24"/>
        </w:rPr>
      </w:pPr>
      <w:r>
        <w:rPr>
          <w:sz w:val="24"/>
          <w:szCs w:val="24"/>
        </w:rPr>
        <w:t>Interpret how different insults or injuries effect the body.</w:t>
      </w:r>
    </w:p>
    <w:p w:rsidR="005256B3" w:rsidRDefault="00796C5F">
      <w:pPr>
        <w:numPr>
          <w:ilvl w:val="0"/>
          <w:numId w:val="1"/>
        </w:numPr>
        <w:rPr>
          <w:sz w:val="24"/>
          <w:szCs w:val="24"/>
        </w:rPr>
      </w:pPr>
      <w:r>
        <w:rPr>
          <w:sz w:val="24"/>
          <w:szCs w:val="24"/>
        </w:rPr>
        <w:t>Relate the anatomical complex of the head and neck to other systemic body functions.</w:t>
      </w:r>
    </w:p>
    <w:p w:rsidR="005256B3" w:rsidRDefault="00796C5F">
      <w:pPr>
        <w:numPr>
          <w:ilvl w:val="0"/>
          <w:numId w:val="1"/>
        </w:numPr>
        <w:rPr>
          <w:sz w:val="24"/>
          <w:szCs w:val="24"/>
        </w:rPr>
      </w:pPr>
      <w:r>
        <w:rPr>
          <w:sz w:val="24"/>
          <w:szCs w:val="24"/>
        </w:rPr>
        <w:t>Given a clinical correlation, identify the anatomical landmarks important in understanding normal function.</w:t>
      </w:r>
    </w:p>
    <w:p w:rsidR="005256B3" w:rsidRDefault="00796C5F">
      <w:pPr>
        <w:numPr>
          <w:ilvl w:val="0"/>
          <w:numId w:val="1"/>
        </w:numPr>
        <w:spacing w:after="280"/>
        <w:rPr>
          <w:sz w:val="24"/>
          <w:szCs w:val="24"/>
        </w:rPr>
      </w:pPr>
      <w:r>
        <w:rPr>
          <w:sz w:val="24"/>
          <w:szCs w:val="24"/>
        </w:rPr>
        <w:t>Given a clinical correlation, apply anatomical knowledge to solve clinical situations.</w:t>
      </w:r>
    </w:p>
    <w:p w:rsidR="005256B3" w:rsidRDefault="00796C5F">
      <w:pPr>
        <w:pStyle w:val="Heading1"/>
      </w:pPr>
      <w:bookmarkStart w:id="6" w:name="_heading=h.3dy6vkm" w:colFirst="0" w:colLast="0"/>
      <w:bookmarkEnd w:id="6"/>
      <w:r>
        <w:t>III. Course Overview</w:t>
      </w:r>
    </w:p>
    <w:p w:rsidR="005256B3" w:rsidRDefault="00796C5F">
      <w:pPr>
        <w:spacing w:before="100" w:after="100"/>
        <w:rPr>
          <w:sz w:val="24"/>
          <w:szCs w:val="24"/>
        </w:rPr>
      </w:pPr>
      <w:r>
        <w:rPr>
          <w:sz w:val="24"/>
          <w:szCs w:val="24"/>
        </w:rPr>
        <w:t>Course instruction will be accomplished through lectures and dissections.</w:t>
      </w:r>
    </w:p>
    <w:p w:rsidR="005256B3" w:rsidRDefault="005256B3">
      <w:pPr>
        <w:spacing w:before="100" w:after="100"/>
        <w:rPr>
          <w:b/>
          <w:sz w:val="24"/>
          <w:szCs w:val="24"/>
        </w:rPr>
      </w:pPr>
    </w:p>
    <w:p w:rsidR="005256B3" w:rsidRDefault="00796C5F">
      <w:pPr>
        <w:pStyle w:val="Heading2"/>
        <w:spacing w:before="100" w:after="100"/>
      </w:pPr>
      <w:bookmarkStart w:id="7" w:name="_heading=h.1t3h5sf" w:colFirst="0" w:colLast="0"/>
      <w:bookmarkEnd w:id="7"/>
      <w:r>
        <w:t>Lectures:</w:t>
      </w:r>
    </w:p>
    <w:p w:rsidR="005256B3" w:rsidRDefault="00796C5F">
      <w:pPr>
        <w:spacing w:before="100" w:after="100"/>
        <w:rPr>
          <w:sz w:val="24"/>
          <w:szCs w:val="24"/>
        </w:rPr>
      </w:pPr>
      <w:r>
        <w:rPr>
          <w:sz w:val="24"/>
          <w:szCs w:val="24"/>
        </w:rPr>
        <w:t>Lectures are designed to direct the student's reading and to emphasize material of primary importance. Generally, lectures provide overall concepts and the student will need to consult their reference text for specific details. The lecture format in most cases is centered on diagrammatic illustrations and most students obtain colored pencils or pens for note-taking. Specific reading assignments in the text are suggested for each lecture topic.</w:t>
      </w:r>
    </w:p>
    <w:p w:rsidR="005256B3" w:rsidRDefault="005256B3">
      <w:pPr>
        <w:spacing w:before="100" w:after="100"/>
        <w:rPr>
          <w:b/>
          <w:sz w:val="24"/>
          <w:szCs w:val="24"/>
        </w:rPr>
      </w:pPr>
    </w:p>
    <w:p w:rsidR="005256B3" w:rsidRDefault="00796C5F">
      <w:pPr>
        <w:pStyle w:val="Heading2"/>
        <w:spacing w:before="100" w:after="100"/>
      </w:pPr>
      <w:bookmarkStart w:id="8" w:name="_heading=h.4d34og8" w:colFirst="0" w:colLast="0"/>
      <w:bookmarkEnd w:id="8"/>
      <w:r>
        <w:lastRenderedPageBreak/>
        <w:t>Laboratories:</w:t>
      </w:r>
    </w:p>
    <w:p w:rsidR="005256B3" w:rsidRDefault="00796C5F">
      <w:pPr>
        <w:spacing w:before="100" w:after="100"/>
        <w:rPr>
          <w:sz w:val="24"/>
          <w:szCs w:val="24"/>
        </w:rPr>
      </w:pPr>
      <w:r>
        <w:rPr>
          <w:sz w:val="24"/>
          <w:szCs w:val="24"/>
        </w:rPr>
        <w:t xml:space="preserve">Attendance is mandatory to work in teams- Mandatory Attendance. Students must sign attendance sheet for each laboratory session. Students must also attend the safety procedures lab during orientation. </w:t>
      </w:r>
    </w:p>
    <w:p w:rsidR="005256B3" w:rsidRDefault="00796C5F">
      <w:pPr>
        <w:spacing w:before="100" w:after="100"/>
        <w:rPr>
          <w:b/>
          <w:sz w:val="24"/>
          <w:szCs w:val="24"/>
        </w:rPr>
      </w:pPr>
      <w:r>
        <w:rPr>
          <w:sz w:val="24"/>
          <w:szCs w:val="24"/>
        </w:rPr>
        <w:t xml:space="preserve">Gross anatomy laboratory sessions provide hands-on experiences that assist student learning through tactile procedures on three-dimensional portions of the human body. Details of laboratory procedures conduct and cadaver care are described in the course manual. All students must sign a Pledge of Respect form acknowledging the rules laid down by the Anatomical Board of the State of Florida before gaining admission to the dissection laboratory.  No unregistered 'guests' may be permitted entry to the dissection laboratories at any time without written permission from the Executive Director of the Anatomical Board of the State of Florida.  Moreover, PHOTOGRAPHY OF ANY PART OR ALL OF A CADAVER IS ABSOLUTELY FORBIDDEN AND CONSTITUTES GROUNDS FOR DISMISSAL FROM THIS COURSE. </w:t>
      </w:r>
      <w:r>
        <w:rPr>
          <w:b/>
          <w:sz w:val="24"/>
          <w:szCs w:val="24"/>
        </w:rPr>
        <w:t>Students are to report scheduled absences from labs 2 weeks in advance.</w:t>
      </w:r>
    </w:p>
    <w:p w:rsidR="005256B3" w:rsidRDefault="005256B3">
      <w:pPr>
        <w:spacing w:before="100" w:after="100"/>
        <w:rPr>
          <w:b/>
          <w:sz w:val="24"/>
          <w:szCs w:val="24"/>
        </w:rPr>
      </w:pPr>
    </w:p>
    <w:p w:rsidR="005256B3" w:rsidRDefault="00796C5F">
      <w:pPr>
        <w:pStyle w:val="Heading2"/>
        <w:spacing w:before="100" w:after="100"/>
      </w:pPr>
      <w:bookmarkStart w:id="9" w:name="_heading=h.2s8eyo1" w:colFirst="0" w:colLast="0"/>
      <w:bookmarkEnd w:id="9"/>
      <w:r>
        <w:t>Clinical Correlation:</w:t>
      </w:r>
    </w:p>
    <w:p w:rsidR="005256B3" w:rsidRDefault="00796C5F">
      <w:pPr>
        <w:spacing w:before="100" w:after="100"/>
        <w:rPr>
          <w:sz w:val="24"/>
          <w:szCs w:val="24"/>
        </w:rPr>
      </w:pPr>
      <w:r>
        <w:rPr>
          <w:sz w:val="24"/>
          <w:szCs w:val="24"/>
        </w:rPr>
        <w:t>Clinical correlations will provide the student with examples of the application of learned material to the diagnosis and treatment of patients. These correlations will provide a basis for the continued application of learned anatomical sciences to clinical practice.</w:t>
      </w:r>
    </w:p>
    <w:p w:rsidR="005256B3" w:rsidRDefault="005256B3">
      <w:pPr>
        <w:spacing w:before="100" w:after="100"/>
        <w:rPr>
          <w:b/>
          <w:sz w:val="24"/>
          <w:szCs w:val="24"/>
        </w:rPr>
      </w:pPr>
    </w:p>
    <w:p w:rsidR="005256B3" w:rsidRDefault="00796C5F">
      <w:pPr>
        <w:pStyle w:val="Heading1"/>
      </w:pPr>
      <w:bookmarkStart w:id="10" w:name="_heading=h.17dp8vu" w:colFirst="0" w:colLast="0"/>
      <w:bookmarkEnd w:id="10"/>
      <w:r>
        <w:t>IV. Course Outline</w:t>
      </w:r>
    </w:p>
    <w:p w:rsidR="005256B3" w:rsidRDefault="00796C5F">
      <w:pPr>
        <w:spacing w:before="280" w:after="280"/>
        <w:rPr>
          <w:sz w:val="24"/>
          <w:szCs w:val="24"/>
        </w:rPr>
      </w:pPr>
      <w:r>
        <w:rPr>
          <w:sz w:val="24"/>
          <w:szCs w:val="24"/>
        </w:rPr>
        <w:t>1. Back and spinal column</w:t>
      </w:r>
    </w:p>
    <w:p w:rsidR="005256B3" w:rsidRDefault="00796C5F">
      <w:pPr>
        <w:spacing w:before="280" w:after="280"/>
        <w:rPr>
          <w:sz w:val="24"/>
          <w:szCs w:val="24"/>
        </w:rPr>
      </w:pPr>
      <w:r>
        <w:rPr>
          <w:sz w:val="24"/>
          <w:szCs w:val="24"/>
        </w:rPr>
        <w:t xml:space="preserve"> 2. Vascular and musculoskeletal systems</w:t>
      </w:r>
    </w:p>
    <w:p w:rsidR="005256B3" w:rsidRDefault="00796C5F">
      <w:pPr>
        <w:spacing w:before="280" w:after="280"/>
        <w:rPr>
          <w:sz w:val="24"/>
          <w:szCs w:val="24"/>
        </w:rPr>
      </w:pPr>
      <w:r>
        <w:rPr>
          <w:sz w:val="24"/>
          <w:szCs w:val="24"/>
        </w:rPr>
        <w:t xml:space="preserve"> 3. Pectoral region and axilla </w:t>
      </w:r>
    </w:p>
    <w:p w:rsidR="005256B3" w:rsidRDefault="00796C5F">
      <w:pPr>
        <w:spacing w:before="280" w:after="280"/>
        <w:rPr>
          <w:sz w:val="24"/>
          <w:szCs w:val="24"/>
        </w:rPr>
      </w:pPr>
      <w:r>
        <w:rPr>
          <w:sz w:val="24"/>
          <w:szCs w:val="24"/>
        </w:rPr>
        <w:t xml:space="preserve"> 4. Upper extremity (bones, joints and nerves)</w:t>
      </w:r>
    </w:p>
    <w:p w:rsidR="005256B3" w:rsidRDefault="00796C5F">
      <w:pPr>
        <w:spacing w:before="280" w:after="280"/>
        <w:rPr>
          <w:sz w:val="24"/>
          <w:szCs w:val="24"/>
        </w:rPr>
      </w:pPr>
      <w:r>
        <w:rPr>
          <w:sz w:val="24"/>
          <w:szCs w:val="24"/>
        </w:rPr>
        <w:t xml:space="preserve"> 5. Upper extremity (blood supply and muscles)</w:t>
      </w:r>
    </w:p>
    <w:p w:rsidR="005256B3" w:rsidRDefault="00796C5F">
      <w:pPr>
        <w:spacing w:before="280" w:after="280"/>
        <w:rPr>
          <w:sz w:val="24"/>
          <w:szCs w:val="24"/>
        </w:rPr>
      </w:pPr>
      <w:r>
        <w:rPr>
          <w:sz w:val="24"/>
          <w:szCs w:val="24"/>
        </w:rPr>
        <w:t xml:space="preserve"> 6. Upper extremity (hand, and functional anatomy)</w:t>
      </w:r>
    </w:p>
    <w:p w:rsidR="005256B3" w:rsidRDefault="00796C5F">
      <w:pPr>
        <w:spacing w:before="280" w:after="280"/>
        <w:rPr>
          <w:sz w:val="24"/>
          <w:szCs w:val="24"/>
        </w:rPr>
      </w:pPr>
      <w:r>
        <w:rPr>
          <w:sz w:val="24"/>
          <w:szCs w:val="24"/>
        </w:rPr>
        <w:t>7. Nervous system</w:t>
      </w:r>
    </w:p>
    <w:p w:rsidR="005256B3" w:rsidRDefault="00796C5F">
      <w:pPr>
        <w:spacing w:before="280" w:after="280"/>
        <w:rPr>
          <w:sz w:val="24"/>
          <w:szCs w:val="24"/>
        </w:rPr>
      </w:pPr>
      <w:r>
        <w:rPr>
          <w:sz w:val="24"/>
          <w:szCs w:val="24"/>
        </w:rPr>
        <w:lastRenderedPageBreak/>
        <w:t>8. Introduction to Head and Neck</w:t>
      </w:r>
    </w:p>
    <w:p w:rsidR="005256B3" w:rsidRDefault="00796C5F">
      <w:pPr>
        <w:spacing w:before="280" w:after="280"/>
        <w:rPr>
          <w:sz w:val="24"/>
          <w:szCs w:val="24"/>
        </w:rPr>
      </w:pPr>
      <w:r>
        <w:rPr>
          <w:sz w:val="24"/>
          <w:szCs w:val="24"/>
        </w:rPr>
        <w:t xml:space="preserve"> 9. Neck I</w:t>
      </w:r>
    </w:p>
    <w:p w:rsidR="005256B3" w:rsidRDefault="00796C5F">
      <w:pPr>
        <w:spacing w:before="280" w:after="280"/>
        <w:rPr>
          <w:sz w:val="24"/>
          <w:szCs w:val="24"/>
        </w:rPr>
      </w:pPr>
      <w:r>
        <w:rPr>
          <w:sz w:val="24"/>
          <w:szCs w:val="24"/>
        </w:rPr>
        <w:t xml:space="preserve"> 10. Neck II</w:t>
      </w:r>
    </w:p>
    <w:p w:rsidR="005256B3" w:rsidRDefault="00796C5F">
      <w:pPr>
        <w:spacing w:before="280" w:after="280"/>
        <w:rPr>
          <w:sz w:val="24"/>
          <w:szCs w:val="24"/>
        </w:rPr>
      </w:pPr>
      <w:r>
        <w:rPr>
          <w:sz w:val="24"/>
          <w:szCs w:val="24"/>
        </w:rPr>
        <w:t xml:space="preserve"> 11. Skull osteology</w:t>
      </w:r>
    </w:p>
    <w:p w:rsidR="005256B3" w:rsidRDefault="00796C5F">
      <w:pPr>
        <w:spacing w:before="280" w:after="280"/>
        <w:rPr>
          <w:sz w:val="24"/>
          <w:szCs w:val="24"/>
        </w:rPr>
      </w:pPr>
      <w:r>
        <w:rPr>
          <w:sz w:val="24"/>
          <w:szCs w:val="24"/>
        </w:rPr>
        <w:t xml:space="preserve"> 12. Gross face (cranial nerve)</w:t>
      </w:r>
    </w:p>
    <w:p w:rsidR="005256B3" w:rsidRDefault="00796C5F">
      <w:pPr>
        <w:spacing w:before="280" w:after="280"/>
        <w:rPr>
          <w:sz w:val="24"/>
          <w:szCs w:val="24"/>
        </w:rPr>
      </w:pPr>
      <w:r>
        <w:rPr>
          <w:sz w:val="24"/>
          <w:szCs w:val="24"/>
        </w:rPr>
        <w:t xml:space="preserve"> 13. Temporal and infratemporal fossae</w:t>
      </w:r>
    </w:p>
    <w:p w:rsidR="005256B3" w:rsidRDefault="00796C5F">
      <w:pPr>
        <w:spacing w:before="280" w:after="280"/>
        <w:rPr>
          <w:sz w:val="24"/>
          <w:szCs w:val="24"/>
        </w:rPr>
      </w:pPr>
      <w:r>
        <w:rPr>
          <w:sz w:val="24"/>
          <w:szCs w:val="24"/>
        </w:rPr>
        <w:t xml:space="preserve"> 14. Temporomandibular joint</w:t>
      </w:r>
    </w:p>
    <w:p w:rsidR="005256B3" w:rsidRDefault="00796C5F">
      <w:pPr>
        <w:spacing w:before="280" w:after="280"/>
        <w:rPr>
          <w:sz w:val="24"/>
          <w:szCs w:val="24"/>
        </w:rPr>
      </w:pPr>
      <w:r>
        <w:rPr>
          <w:sz w:val="24"/>
          <w:szCs w:val="24"/>
        </w:rPr>
        <w:t xml:space="preserve"> 15. Pterygopalatine fossa and Ear</w:t>
      </w:r>
    </w:p>
    <w:p w:rsidR="005256B3" w:rsidRDefault="00796C5F">
      <w:pPr>
        <w:spacing w:before="280" w:after="280"/>
        <w:rPr>
          <w:sz w:val="24"/>
          <w:szCs w:val="24"/>
        </w:rPr>
      </w:pPr>
      <w:r>
        <w:rPr>
          <w:sz w:val="24"/>
          <w:szCs w:val="24"/>
        </w:rPr>
        <w:t xml:space="preserve"> 16. Cranial fossae</w:t>
      </w:r>
    </w:p>
    <w:p w:rsidR="005256B3" w:rsidRDefault="00796C5F">
      <w:pPr>
        <w:spacing w:before="280" w:after="280"/>
        <w:rPr>
          <w:sz w:val="24"/>
          <w:szCs w:val="24"/>
        </w:rPr>
      </w:pPr>
      <w:r>
        <w:rPr>
          <w:sz w:val="24"/>
          <w:szCs w:val="24"/>
        </w:rPr>
        <w:t xml:space="preserve"> 17. Orbit </w:t>
      </w:r>
    </w:p>
    <w:p w:rsidR="005256B3" w:rsidRDefault="00796C5F">
      <w:pPr>
        <w:spacing w:before="280" w:after="280"/>
        <w:rPr>
          <w:sz w:val="24"/>
          <w:szCs w:val="24"/>
        </w:rPr>
      </w:pPr>
      <w:r>
        <w:rPr>
          <w:sz w:val="24"/>
          <w:szCs w:val="24"/>
        </w:rPr>
        <w:t xml:space="preserve"> 18. Pharynx and tongue</w:t>
      </w:r>
    </w:p>
    <w:p w:rsidR="005256B3" w:rsidRDefault="00796C5F">
      <w:pPr>
        <w:spacing w:before="280" w:after="280"/>
        <w:rPr>
          <w:sz w:val="24"/>
          <w:szCs w:val="24"/>
        </w:rPr>
      </w:pPr>
      <w:r>
        <w:rPr>
          <w:sz w:val="24"/>
          <w:szCs w:val="24"/>
        </w:rPr>
        <w:t xml:space="preserve"> 19. Nasal cavity</w:t>
      </w:r>
    </w:p>
    <w:p w:rsidR="005256B3" w:rsidRDefault="00796C5F">
      <w:pPr>
        <w:spacing w:before="280" w:after="280"/>
        <w:rPr>
          <w:sz w:val="24"/>
          <w:szCs w:val="24"/>
        </w:rPr>
      </w:pPr>
      <w:r>
        <w:rPr>
          <w:sz w:val="24"/>
          <w:szCs w:val="24"/>
        </w:rPr>
        <w:t>20. Maxillary nerve and cranial ganglia</w:t>
      </w:r>
    </w:p>
    <w:p w:rsidR="005256B3" w:rsidRDefault="00796C5F">
      <w:pPr>
        <w:spacing w:before="280" w:after="280"/>
        <w:rPr>
          <w:sz w:val="24"/>
          <w:szCs w:val="24"/>
        </w:rPr>
      </w:pPr>
      <w:r>
        <w:rPr>
          <w:sz w:val="24"/>
          <w:szCs w:val="24"/>
        </w:rPr>
        <w:t xml:space="preserve"> 21. Submandibular region </w:t>
      </w:r>
    </w:p>
    <w:p w:rsidR="005256B3" w:rsidRDefault="00796C5F">
      <w:pPr>
        <w:spacing w:before="280" w:after="280"/>
        <w:rPr>
          <w:sz w:val="24"/>
          <w:szCs w:val="24"/>
        </w:rPr>
      </w:pPr>
      <w:r>
        <w:rPr>
          <w:sz w:val="24"/>
          <w:szCs w:val="24"/>
        </w:rPr>
        <w:t xml:space="preserve"> 22. Thoracic wall and pleura</w:t>
      </w:r>
    </w:p>
    <w:p w:rsidR="005256B3" w:rsidRDefault="00796C5F">
      <w:pPr>
        <w:spacing w:before="280" w:after="280"/>
        <w:rPr>
          <w:sz w:val="24"/>
          <w:szCs w:val="24"/>
        </w:rPr>
      </w:pPr>
      <w:r>
        <w:rPr>
          <w:sz w:val="24"/>
          <w:szCs w:val="24"/>
        </w:rPr>
        <w:t xml:space="preserve"> 23. Heart</w:t>
      </w:r>
    </w:p>
    <w:p w:rsidR="005256B3" w:rsidRDefault="00796C5F">
      <w:pPr>
        <w:spacing w:before="280" w:after="280"/>
        <w:rPr>
          <w:sz w:val="24"/>
          <w:szCs w:val="24"/>
        </w:rPr>
      </w:pPr>
      <w:r>
        <w:rPr>
          <w:sz w:val="24"/>
          <w:szCs w:val="24"/>
        </w:rPr>
        <w:t xml:space="preserve"> 24. Posterior mediastinum</w:t>
      </w:r>
    </w:p>
    <w:p w:rsidR="005256B3" w:rsidRDefault="00796C5F">
      <w:pPr>
        <w:spacing w:before="280" w:after="280"/>
        <w:rPr>
          <w:sz w:val="24"/>
          <w:szCs w:val="24"/>
        </w:rPr>
      </w:pPr>
      <w:r>
        <w:rPr>
          <w:sz w:val="24"/>
          <w:szCs w:val="24"/>
        </w:rPr>
        <w:t xml:space="preserve"> 25. Abdominal wall and Inguinal region</w:t>
      </w:r>
    </w:p>
    <w:p w:rsidR="005256B3" w:rsidRDefault="00796C5F">
      <w:pPr>
        <w:spacing w:before="280" w:after="280"/>
        <w:rPr>
          <w:sz w:val="24"/>
          <w:szCs w:val="24"/>
        </w:rPr>
      </w:pPr>
      <w:r>
        <w:rPr>
          <w:sz w:val="24"/>
          <w:szCs w:val="24"/>
        </w:rPr>
        <w:t xml:space="preserve"> 26. Abdominal viscera</w:t>
      </w:r>
    </w:p>
    <w:p w:rsidR="005256B3" w:rsidRDefault="00796C5F">
      <w:pPr>
        <w:spacing w:before="280" w:after="280"/>
        <w:rPr>
          <w:sz w:val="24"/>
          <w:szCs w:val="24"/>
        </w:rPr>
      </w:pPr>
      <w:r>
        <w:rPr>
          <w:sz w:val="24"/>
          <w:szCs w:val="24"/>
        </w:rPr>
        <w:t xml:space="preserve"> 27. </w:t>
      </w:r>
      <w:proofErr w:type="spellStart"/>
      <w:r>
        <w:rPr>
          <w:sz w:val="24"/>
          <w:szCs w:val="24"/>
        </w:rPr>
        <w:t>Diaphram</w:t>
      </w:r>
      <w:proofErr w:type="spellEnd"/>
      <w:r>
        <w:rPr>
          <w:sz w:val="24"/>
          <w:szCs w:val="24"/>
        </w:rPr>
        <w:t>, intestines and liver</w:t>
      </w:r>
    </w:p>
    <w:p w:rsidR="005256B3" w:rsidRDefault="00796C5F">
      <w:pPr>
        <w:spacing w:before="280" w:after="280"/>
        <w:rPr>
          <w:sz w:val="24"/>
          <w:szCs w:val="24"/>
        </w:rPr>
      </w:pPr>
      <w:r>
        <w:rPr>
          <w:sz w:val="24"/>
          <w:szCs w:val="24"/>
        </w:rPr>
        <w:t xml:space="preserve"> 28. Posterior abdominal wall</w:t>
      </w:r>
    </w:p>
    <w:p w:rsidR="005256B3" w:rsidRDefault="00796C5F">
      <w:pPr>
        <w:pStyle w:val="Heading1"/>
      </w:pPr>
      <w:bookmarkStart w:id="11" w:name="_heading=h.3rdcrjn" w:colFirst="0" w:colLast="0"/>
      <w:bookmarkEnd w:id="11"/>
      <w:r>
        <w:lastRenderedPageBreak/>
        <w:t>V. Course Material</w:t>
      </w:r>
    </w:p>
    <w:p w:rsidR="005256B3" w:rsidRDefault="00796C5F">
      <w:pPr>
        <w:pStyle w:val="Heading2"/>
        <w:spacing w:before="280" w:after="280"/>
      </w:pPr>
      <w:bookmarkStart w:id="12" w:name="_heading=h.26in1rg" w:colFirst="0" w:colLast="0"/>
      <w:bookmarkEnd w:id="12"/>
      <w:r>
        <w:rPr>
          <w:b/>
        </w:rPr>
        <w:t>Required Text:</w:t>
      </w:r>
      <w:r>
        <w:t xml:space="preserve"> </w:t>
      </w:r>
    </w:p>
    <w:p w:rsidR="005256B3" w:rsidRDefault="00796C5F">
      <w:pPr>
        <w:spacing w:before="280" w:after="280"/>
        <w:rPr>
          <w:sz w:val="24"/>
          <w:szCs w:val="24"/>
        </w:rPr>
      </w:pPr>
      <w:r>
        <w:rPr>
          <w:sz w:val="24"/>
          <w:szCs w:val="24"/>
        </w:rPr>
        <w:t>(Students must purchase)</w:t>
      </w:r>
    </w:p>
    <w:p w:rsidR="005256B3" w:rsidRDefault="00796C5F">
      <w:pPr>
        <w:spacing w:before="280" w:after="280"/>
        <w:rPr>
          <w:sz w:val="24"/>
          <w:szCs w:val="24"/>
        </w:rPr>
      </w:pPr>
      <w:proofErr w:type="spellStart"/>
      <w:r>
        <w:rPr>
          <w:sz w:val="24"/>
          <w:szCs w:val="24"/>
        </w:rPr>
        <w:t>Liebgott</w:t>
      </w:r>
      <w:proofErr w:type="spellEnd"/>
      <w:r>
        <w:rPr>
          <w:sz w:val="24"/>
          <w:szCs w:val="24"/>
        </w:rPr>
        <w:t xml:space="preserve">, </w:t>
      </w:r>
      <w:r>
        <w:rPr>
          <w:i/>
          <w:sz w:val="24"/>
          <w:szCs w:val="24"/>
        </w:rPr>
        <w:t>The Anatomical Basis of Dentistry, 4th Ed</w:t>
      </w:r>
      <w:r>
        <w:rPr>
          <w:sz w:val="24"/>
          <w:szCs w:val="24"/>
        </w:rPr>
        <w:t>, Mosby Elsevier, 2017, ISBN 9780323477307</w:t>
      </w:r>
    </w:p>
    <w:p w:rsidR="005256B3" w:rsidRDefault="005256B3">
      <w:pPr>
        <w:spacing w:before="280" w:after="280"/>
        <w:rPr>
          <w:sz w:val="24"/>
          <w:szCs w:val="24"/>
        </w:rPr>
      </w:pPr>
    </w:p>
    <w:p w:rsidR="005256B3" w:rsidRDefault="00796C5F">
      <w:pPr>
        <w:pStyle w:val="Heading2"/>
        <w:spacing w:before="280" w:after="280"/>
      </w:pPr>
      <w:bookmarkStart w:id="13" w:name="_heading=h.lnxbz9" w:colFirst="0" w:colLast="0"/>
      <w:bookmarkEnd w:id="13"/>
      <w:r>
        <w:rPr>
          <w:b/>
        </w:rPr>
        <w:t>Required Software:</w:t>
      </w:r>
      <w:r>
        <w:t xml:space="preserve"> </w:t>
      </w:r>
    </w:p>
    <w:p w:rsidR="005256B3" w:rsidRDefault="00796C5F">
      <w:pPr>
        <w:spacing w:before="280" w:after="280"/>
        <w:rPr>
          <w:sz w:val="24"/>
          <w:szCs w:val="24"/>
        </w:rPr>
      </w:pPr>
      <w:r>
        <w:rPr>
          <w:sz w:val="24"/>
          <w:szCs w:val="24"/>
        </w:rPr>
        <w:t>(Included in your Instrument, Technology and Supply fees)</w:t>
      </w:r>
    </w:p>
    <w:p w:rsidR="005256B3" w:rsidRDefault="00796C5F">
      <w:pPr>
        <w:spacing w:before="280" w:after="280"/>
        <w:rPr>
          <w:sz w:val="24"/>
          <w:szCs w:val="24"/>
        </w:rPr>
      </w:pPr>
      <w:r>
        <w:rPr>
          <w:sz w:val="24"/>
          <w:szCs w:val="24"/>
        </w:rPr>
        <w:t>Virtual Human Dissector: Touch of Life Technologies.</w:t>
      </w:r>
    </w:p>
    <w:p w:rsidR="005256B3" w:rsidRDefault="00796C5F">
      <w:pPr>
        <w:spacing w:before="280" w:after="280"/>
        <w:rPr>
          <w:sz w:val="24"/>
          <w:szCs w:val="24"/>
        </w:rPr>
      </w:pPr>
      <w:r>
        <w:rPr>
          <w:sz w:val="24"/>
          <w:szCs w:val="24"/>
        </w:rPr>
        <w:t>You will receive an email with a link to download the software on or before the first day of class. Students license access if for 4 years.</w:t>
      </w:r>
    </w:p>
    <w:p w:rsidR="005256B3" w:rsidRDefault="00796C5F">
      <w:pPr>
        <w:spacing w:before="280" w:after="280"/>
        <w:rPr>
          <w:sz w:val="24"/>
          <w:szCs w:val="24"/>
        </w:rPr>
      </w:pPr>
      <w:r>
        <w:rPr>
          <w:sz w:val="24"/>
          <w:szCs w:val="24"/>
        </w:rPr>
        <w:t>VH Dissector Computer Requirements are posted in the Documents section.</w:t>
      </w:r>
    </w:p>
    <w:p w:rsidR="005256B3" w:rsidRDefault="00796C5F">
      <w:pPr>
        <w:spacing w:before="280" w:after="280"/>
        <w:rPr>
          <w:sz w:val="24"/>
          <w:szCs w:val="24"/>
        </w:rPr>
      </w:pPr>
      <w:r>
        <w:rPr>
          <w:sz w:val="24"/>
          <w:szCs w:val="24"/>
        </w:rPr>
        <w:t>Support Information: Contact ToLTech at support@toltech.net or 800-329-2979</w:t>
      </w:r>
    </w:p>
    <w:p w:rsidR="005256B3" w:rsidRDefault="005256B3">
      <w:pPr>
        <w:spacing w:before="280" w:after="280"/>
        <w:rPr>
          <w:sz w:val="24"/>
          <w:szCs w:val="24"/>
        </w:rPr>
      </w:pPr>
    </w:p>
    <w:p w:rsidR="005256B3" w:rsidRDefault="00796C5F">
      <w:pPr>
        <w:pStyle w:val="Heading2"/>
        <w:spacing w:before="280" w:after="280"/>
      </w:pPr>
      <w:bookmarkStart w:id="14" w:name="_heading=h.35nkun2" w:colFirst="0" w:colLast="0"/>
      <w:bookmarkEnd w:id="14"/>
      <w:r>
        <w:t>Required Manual:</w:t>
      </w:r>
    </w:p>
    <w:p w:rsidR="005256B3" w:rsidRDefault="00796C5F">
      <w:pPr>
        <w:spacing w:before="280" w:after="280"/>
        <w:rPr>
          <w:sz w:val="24"/>
          <w:szCs w:val="24"/>
        </w:rPr>
      </w:pPr>
      <w:r>
        <w:rPr>
          <w:sz w:val="24"/>
          <w:szCs w:val="24"/>
        </w:rPr>
        <w:t xml:space="preserve">Manual of Human </w:t>
      </w:r>
      <w:proofErr w:type="gramStart"/>
      <w:r>
        <w:rPr>
          <w:sz w:val="24"/>
          <w:szCs w:val="24"/>
        </w:rPr>
        <w:t xml:space="preserve">Dissection  </w:t>
      </w:r>
      <w:proofErr w:type="spellStart"/>
      <w:r>
        <w:rPr>
          <w:sz w:val="24"/>
          <w:szCs w:val="24"/>
        </w:rPr>
        <w:t>Kayle</w:t>
      </w:r>
      <w:proofErr w:type="spellEnd"/>
      <w:proofErr w:type="gramEnd"/>
      <w:r>
        <w:rPr>
          <w:sz w:val="24"/>
          <w:szCs w:val="24"/>
        </w:rPr>
        <w:t xml:space="preserve"> E Rarey et.al  ISBN 1-885966-008</w:t>
      </w:r>
    </w:p>
    <w:p w:rsidR="005256B3" w:rsidRDefault="00796C5F">
      <w:pPr>
        <w:spacing w:before="280" w:after="280"/>
        <w:rPr>
          <w:sz w:val="24"/>
          <w:szCs w:val="24"/>
        </w:rPr>
      </w:pPr>
      <w:r>
        <w:rPr>
          <w:sz w:val="24"/>
          <w:szCs w:val="24"/>
        </w:rPr>
        <w:t>(Students must purchase at Health science center book store)</w:t>
      </w:r>
    </w:p>
    <w:p w:rsidR="005256B3" w:rsidRDefault="005256B3">
      <w:pPr>
        <w:spacing w:before="280" w:after="280"/>
        <w:rPr>
          <w:sz w:val="24"/>
          <w:szCs w:val="24"/>
        </w:rPr>
      </w:pPr>
    </w:p>
    <w:p w:rsidR="005256B3" w:rsidRDefault="00796C5F">
      <w:pPr>
        <w:pStyle w:val="Heading2"/>
        <w:spacing w:before="280" w:after="280"/>
      </w:pPr>
      <w:bookmarkStart w:id="15" w:name="_heading=h.1ksv4uv" w:colFirst="0" w:colLast="0"/>
      <w:bookmarkEnd w:id="15"/>
      <w:r>
        <w:t>Recommended texts:</w:t>
      </w:r>
    </w:p>
    <w:p w:rsidR="005256B3" w:rsidRDefault="00796C5F">
      <w:pPr>
        <w:spacing w:before="280" w:after="280"/>
        <w:rPr>
          <w:sz w:val="24"/>
          <w:szCs w:val="24"/>
        </w:rPr>
      </w:pPr>
      <w:r>
        <w:rPr>
          <w:sz w:val="24"/>
          <w:szCs w:val="24"/>
        </w:rPr>
        <w:t xml:space="preserve">Netter, F.H., </w:t>
      </w:r>
      <w:r>
        <w:rPr>
          <w:i/>
          <w:sz w:val="24"/>
          <w:szCs w:val="24"/>
        </w:rPr>
        <w:t>Atlas of Human Anatomy, 6</w:t>
      </w:r>
      <w:r>
        <w:rPr>
          <w:i/>
          <w:sz w:val="24"/>
          <w:szCs w:val="24"/>
          <w:vertAlign w:val="superscript"/>
        </w:rPr>
        <w:t>th</w:t>
      </w:r>
      <w:r>
        <w:rPr>
          <w:i/>
          <w:sz w:val="24"/>
          <w:szCs w:val="24"/>
        </w:rPr>
        <w:t xml:space="preserve"> edition, </w:t>
      </w:r>
      <w:r>
        <w:rPr>
          <w:sz w:val="24"/>
          <w:szCs w:val="24"/>
        </w:rPr>
        <w:t>(2014) ISBN: 1455758884</w:t>
      </w:r>
    </w:p>
    <w:p w:rsidR="005256B3" w:rsidRDefault="005256B3">
      <w:pPr>
        <w:spacing w:before="280" w:after="280"/>
        <w:rPr>
          <w:sz w:val="24"/>
          <w:szCs w:val="24"/>
        </w:rPr>
      </w:pPr>
    </w:p>
    <w:p w:rsidR="005256B3" w:rsidRDefault="00796C5F">
      <w:pPr>
        <w:spacing w:before="280" w:after="280"/>
        <w:rPr>
          <w:sz w:val="24"/>
          <w:szCs w:val="24"/>
        </w:rPr>
      </w:pPr>
      <w:r>
        <w:rPr>
          <w:i/>
          <w:sz w:val="24"/>
          <w:szCs w:val="24"/>
        </w:rPr>
        <w:lastRenderedPageBreak/>
        <w:t>Stedman's Concise Medical Dictionary</w:t>
      </w:r>
      <w:r>
        <w:rPr>
          <w:sz w:val="24"/>
          <w:szCs w:val="24"/>
        </w:rPr>
        <w:t xml:space="preserve">,27th Ed, 2003. </w:t>
      </w:r>
      <w:proofErr w:type="spellStart"/>
      <w:r>
        <w:rPr>
          <w:sz w:val="24"/>
          <w:szCs w:val="24"/>
        </w:rPr>
        <w:t>Lipincott</w:t>
      </w:r>
      <w:proofErr w:type="spellEnd"/>
      <w:r>
        <w:rPr>
          <w:sz w:val="24"/>
          <w:szCs w:val="24"/>
        </w:rPr>
        <w:t>, Williams &amp; Wilkins ISBN: 0781746462</w:t>
      </w:r>
    </w:p>
    <w:p w:rsidR="005256B3" w:rsidRDefault="005256B3">
      <w:pPr>
        <w:spacing w:before="280" w:after="280"/>
        <w:rPr>
          <w:sz w:val="24"/>
          <w:szCs w:val="24"/>
        </w:rPr>
      </w:pPr>
    </w:p>
    <w:p w:rsidR="005256B3" w:rsidRDefault="00796C5F">
      <w:pPr>
        <w:spacing w:before="280" w:after="280"/>
        <w:rPr>
          <w:i/>
          <w:sz w:val="24"/>
          <w:szCs w:val="24"/>
        </w:rPr>
      </w:pPr>
      <w:r>
        <w:rPr>
          <w:i/>
          <w:sz w:val="24"/>
          <w:szCs w:val="24"/>
        </w:rPr>
        <w:t>Dorland's Illustrated Medical Dictionary, 32th Ed, 2011, ISBN: 1416062572</w:t>
      </w:r>
    </w:p>
    <w:p w:rsidR="005256B3" w:rsidRDefault="005256B3">
      <w:pPr>
        <w:spacing w:before="280" w:after="280"/>
        <w:rPr>
          <w:sz w:val="24"/>
          <w:szCs w:val="24"/>
        </w:rPr>
      </w:pPr>
    </w:p>
    <w:p w:rsidR="005256B3" w:rsidRDefault="00796C5F">
      <w:pPr>
        <w:pStyle w:val="Heading2"/>
        <w:spacing w:before="280" w:after="280"/>
      </w:pPr>
      <w:bookmarkStart w:id="16" w:name="_heading=h.44sinio" w:colFirst="0" w:colLast="0"/>
      <w:bookmarkEnd w:id="16"/>
      <w:r>
        <w:rPr>
          <w:b/>
        </w:rPr>
        <w:t>Laboratory supplies:</w:t>
      </w:r>
      <w:r>
        <w:t xml:space="preserve"> </w:t>
      </w:r>
    </w:p>
    <w:p w:rsidR="005256B3" w:rsidRDefault="00796C5F">
      <w:pPr>
        <w:spacing w:before="280" w:after="280"/>
        <w:rPr>
          <w:sz w:val="24"/>
          <w:szCs w:val="24"/>
        </w:rPr>
      </w:pPr>
      <w:r>
        <w:rPr>
          <w:sz w:val="24"/>
          <w:szCs w:val="24"/>
        </w:rPr>
        <w:t>(may be purchased at the Health Center Bookstore)</w:t>
      </w:r>
    </w:p>
    <w:p w:rsidR="005256B3" w:rsidRDefault="00796C5F">
      <w:pPr>
        <w:spacing w:before="280" w:after="280"/>
        <w:rPr>
          <w:sz w:val="24"/>
          <w:szCs w:val="24"/>
        </w:rPr>
      </w:pPr>
      <w:r>
        <w:rPr>
          <w:sz w:val="24"/>
          <w:szCs w:val="24"/>
        </w:rPr>
        <w:t>Dissecting instruments will be provided for each table; however, individuals may wish to purchase their personal instruments. (Probe, with one pointed and one flat end; Forceps, 5 _" rat-tooth and/or smooth tip forceps; Scissors, either 6 _" operative or Metzenbaum; Scalpel handle, #3.</w:t>
      </w:r>
    </w:p>
    <w:p w:rsidR="005256B3" w:rsidRDefault="00796C5F">
      <w:pPr>
        <w:spacing w:before="280" w:after="280"/>
        <w:rPr>
          <w:sz w:val="24"/>
          <w:szCs w:val="24"/>
        </w:rPr>
      </w:pPr>
      <w:r>
        <w:rPr>
          <w:sz w:val="24"/>
          <w:szCs w:val="24"/>
        </w:rPr>
        <w:t>Scalpel blades (#10), and dissecting gloves will be provided.</w:t>
      </w:r>
    </w:p>
    <w:p w:rsidR="005256B3" w:rsidRDefault="005256B3">
      <w:pPr>
        <w:spacing w:before="280" w:after="280"/>
        <w:rPr>
          <w:sz w:val="24"/>
          <w:szCs w:val="24"/>
        </w:rPr>
      </w:pPr>
    </w:p>
    <w:p w:rsidR="005256B3" w:rsidRDefault="00796C5F">
      <w:pPr>
        <w:pStyle w:val="Heading2"/>
        <w:spacing w:before="280" w:after="280"/>
      </w:pPr>
      <w:bookmarkStart w:id="17" w:name="_heading=h.2jxsxqh" w:colFirst="0" w:colLast="0"/>
      <w:bookmarkEnd w:id="17"/>
      <w:r>
        <w:t>Electronic Resources:</w:t>
      </w:r>
    </w:p>
    <w:p w:rsidR="005256B3" w:rsidRDefault="00796C5F">
      <w:pPr>
        <w:spacing w:before="280" w:after="280"/>
        <w:rPr>
          <w:sz w:val="24"/>
          <w:szCs w:val="24"/>
        </w:rPr>
      </w:pPr>
      <w:r>
        <w:rPr>
          <w:sz w:val="24"/>
          <w:szCs w:val="24"/>
        </w:rPr>
        <w:t>Human Anatomy laboratory dissection</w:t>
      </w:r>
    </w:p>
    <w:p w:rsidR="005256B3" w:rsidRDefault="007A4BB1">
      <w:pPr>
        <w:spacing w:before="280" w:after="280"/>
        <w:rPr>
          <w:color w:val="0000FF"/>
          <w:sz w:val="24"/>
          <w:szCs w:val="24"/>
          <w:u w:val="single"/>
        </w:rPr>
      </w:pPr>
      <w:hyperlink r:id="rId6">
        <w:r w:rsidR="00796C5F">
          <w:rPr>
            <w:color w:val="0000FF"/>
            <w:sz w:val="24"/>
            <w:szCs w:val="24"/>
            <w:u w:val="single"/>
          </w:rPr>
          <w:t>http://imcip.meded.com/integrated/ha/</w:t>
        </w:r>
      </w:hyperlink>
    </w:p>
    <w:p w:rsidR="005256B3" w:rsidRDefault="005256B3">
      <w:pPr>
        <w:spacing w:before="280" w:after="280"/>
        <w:rPr>
          <w:sz w:val="24"/>
          <w:szCs w:val="24"/>
        </w:rPr>
      </w:pPr>
    </w:p>
    <w:p w:rsidR="005256B3" w:rsidRDefault="00796C5F">
      <w:pPr>
        <w:pStyle w:val="Heading2"/>
        <w:spacing w:before="280" w:after="280"/>
      </w:pPr>
      <w:bookmarkStart w:id="18" w:name="_heading=h.z337ya" w:colFirst="0" w:colLast="0"/>
      <w:bookmarkEnd w:id="18"/>
      <w:r>
        <w:t>UF Health Science Center Library</w:t>
      </w:r>
    </w:p>
    <w:p w:rsidR="005256B3" w:rsidRDefault="007A4BB1">
      <w:pPr>
        <w:spacing w:before="280" w:after="280"/>
        <w:rPr>
          <w:b/>
          <w:color w:val="1155CC"/>
          <w:sz w:val="24"/>
          <w:szCs w:val="24"/>
          <w:u w:val="single"/>
        </w:rPr>
      </w:pPr>
      <w:hyperlink r:id="rId7">
        <w:r w:rsidR="00796C5F">
          <w:rPr>
            <w:b/>
            <w:color w:val="1155CC"/>
            <w:sz w:val="24"/>
            <w:szCs w:val="24"/>
            <w:u w:val="single"/>
          </w:rPr>
          <w:t>http://library.health.ufl.edu/</w:t>
        </w:r>
      </w:hyperlink>
    </w:p>
    <w:p w:rsidR="005256B3" w:rsidRDefault="00796C5F">
      <w:pPr>
        <w:spacing w:before="280" w:after="280"/>
        <w:rPr>
          <w:b/>
          <w:sz w:val="24"/>
          <w:szCs w:val="24"/>
        </w:rPr>
      </w:pPr>
      <w:r>
        <w:rPr>
          <w:b/>
          <w:sz w:val="24"/>
          <w:szCs w:val="24"/>
        </w:rPr>
        <w:t>Choose Quick Link&gt; databases&gt;</w:t>
      </w:r>
      <w:proofErr w:type="spellStart"/>
      <w:proofErr w:type="gramStart"/>
      <w:r>
        <w:rPr>
          <w:b/>
          <w:sz w:val="24"/>
          <w:szCs w:val="24"/>
        </w:rPr>
        <w:t>Stat!Ref</w:t>
      </w:r>
      <w:proofErr w:type="spellEnd"/>
      <w:proofErr w:type="gramEnd"/>
      <w:r>
        <w:rPr>
          <w:b/>
          <w:sz w:val="24"/>
          <w:szCs w:val="24"/>
        </w:rPr>
        <w:t xml:space="preserve"> e-books&gt;Anatomy.tv&gt;click on Anatomy.TV icon.</w:t>
      </w:r>
    </w:p>
    <w:p w:rsidR="005256B3" w:rsidRDefault="00796C5F">
      <w:pPr>
        <w:spacing w:before="280" w:after="280"/>
        <w:rPr>
          <w:sz w:val="24"/>
          <w:szCs w:val="24"/>
        </w:rPr>
      </w:pPr>
      <w:r>
        <w:rPr>
          <w:sz w:val="24"/>
          <w:szCs w:val="24"/>
        </w:rPr>
        <w:t xml:space="preserve">Primal Pictures resources are the world’s most medically accurate and detailed 3D graphic rendering of human anatomy. With benchmark anatomy, physiology and clinical content, Primal Pictures is widely accepted as the best in class and used by thousands </w:t>
      </w:r>
      <w:r>
        <w:rPr>
          <w:sz w:val="24"/>
          <w:szCs w:val="24"/>
        </w:rPr>
        <w:lastRenderedPageBreak/>
        <w:t xml:space="preserve">of health science educators, students and practitioners worldwide to teach, learn and </w:t>
      </w:r>
      <w:proofErr w:type="spellStart"/>
      <w:r>
        <w:rPr>
          <w:sz w:val="24"/>
          <w:szCs w:val="24"/>
        </w:rPr>
        <w:t>practice.n</w:t>
      </w:r>
      <w:proofErr w:type="spellEnd"/>
      <w:r>
        <w:rPr>
          <w:sz w:val="24"/>
          <w:szCs w:val="24"/>
        </w:rPr>
        <w:t xml:space="preserve"> to access.</w:t>
      </w:r>
    </w:p>
    <w:p w:rsidR="005256B3" w:rsidRDefault="005256B3">
      <w:pPr>
        <w:spacing w:before="280" w:after="280"/>
        <w:rPr>
          <w:b/>
          <w:sz w:val="24"/>
          <w:szCs w:val="24"/>
        </w:rPr>
      </w:pPr>
    </w:p>
    <w:p w:rsidR="005256B3" w:rsidRDefault="00796C5F">
      <w:pPr>
        <w:spacing w:before="280" w:after="280"/>
        <w:rPr>
          <w:color w:val="0000FF"/>
          <w:sz w:val="24"/>
          <w:szCs w:val="24"/>
          <w:u w:val="single"/>
        </w:rPr>
      </w:pPr>
      <w:r>
        <w:rPr>
          <w:sz w:val="24"/>
          <w:szCs w:val="24"/>
        </w:rPr>
        <w:t xml:space="preserve">Dental Lib Guide: </w:t>
      </w:r>
      <w:hyperlink r:id="rId8">
        <w:r>
          <w:rPr>
            <w:color w:val="0000FF"/>
            <w:sz w:val="24"/>
            <w:szCs w:val="24"/>
            <w:u w:val="single"/>
          </w:rPr>
          <w:t>http://guides.uflib.ufl.edu/dental</w:t>
        </w:r>
      </w:hyperlink>
    </w:p>
    <w:p w:rsidR="005256B3" w:rsidRDefault="005256B3">
      <w:pPr>
        <w:spacing w:before="100" w:after="100"/>
        <w:rPr>
          <w:sz w:val="24"/>
          <w:szCs w:val="24"/>
        </w:rPr>
      </w:pPr>
    </w:p>
    <w:p w:rsidR="005256B3" w:rsidRDefault="005256B3">
      <w:pPr>
        <w:spacing w:before="100" w:after="100"/>
        <w:rPr>
          <w:sz w:val="24"/>
          <w:szCs w:val="24"/>
        </w:rPr>
      </w:pPr>
    </w:p>
    <w:p w:rsidR="005256B3" w:rsidRDefault="005256B3">
      <w:pPr>
        <w:spacing w:before="100" w:after="100"/>
        <w:rPr>
          <w:b/>
          <w:sz w:val="24"/>
          <w:szCs w:val="24"/>
        </w:rPr>
      </w:pPr>
    </w:p>
    <w:p w:rsidR="005256B3" w:rsidRDefault="00796C5F">
      <w:pPr>
        <w:pStyle w:val="Heading1"/>
      </w:pPr>
      <w:bookmarkStart w:id="19" w:name="_heading=h.3j2qqm3" w:colFirst="0" w:colLast="0"/>
      <w:bookmarkEnd w:id="19"/>
      <w:r>
        <w:t>VI. Course Objectives</w:t>
      </w:r>
    </w:p>
    <w:p w:rsidR="005256B3" w:rsidRDefault="00796C5F">
      <w:pPr>
        <w:numPr>
          <w:ilvl w:val="0"/>
          <w:numId w:val="2"/>
        </w:numPr>
        <w:spacing w:before="280"/>
        <w:rPr>
          <w:sz w:val="24"/>
          <w:szCs w:val="24"/>
        </w:rPr>
      </w:pPr>
      <w:r>
        <w:rPr>
          <w:sz w:val="24"/>
          <w:szCs w:val="24"/>
        </w:rPr>
        <w:t>Identify and describe the key anatomical structures of the back and spinal column.</w:t>
      </w:r>
    </w:p>
    <w:p w:rsidR="005256B3" w:rsidRDefault="00796C5F">
      <w:pPr>
        <w:numPr>
          <w:ilvl w:val="0"/>
          <w:numId w:val="2"/>
        </w:numPr>
        <w:rPr>
          <w:sz w:val="24"/>
          <w:szCs w:val="24"/>
        </w:rPr>
      </w:pPr>
      <w:r>
        <w:rPr>
          <w:sz w:val="24"/>
          <w:szCs w:val="24"/>
        </w:rPr>
        <w:t>Identify and describe the key anatomical structures of the vascular and musculoskeletal systems.</w:t>
      </w:r>
    </w:p>
    <w:p w:rsidR="005256B3" w:rsidRDefault="00796C5F">
      <w:pPr>
        <w:numPr>
          <w:ilvl w:val="0"/>
          <w:numId w:val="2"/>
        </w:numPr>
        <w:rPr>
          <w:sz w:val="24"/>
          <w:szCs w:val="24"/>
        </w:rPr>
      </w:pPr>
      <w:r>
        <w:rPr>
          <w:sz w:val="24"/>
          <w:szCs w:val="24"/>
        </w:rPr>
        <w:t>Identify and describe the key anatomical structures of the pectoral region and axilla</w:t>
      </w:r>
    </w:p>
    <w:p w:rsidR="005256B3" w:rsidRDefault="00796C5F">
      <w:pPr>
        <w:numPr>
          <w:ilvl w:val="0"/>
          <w:numId w:val="2"/>
        </w:numPr>
        <w:rPr>
          <w:sz w:val="24"/>
          <w:szCs w:val="24"/>
        </w:rPr>
      </w:pPr>
      <w:r>
        <w:rPr>
          <w:sz w:val="24"/>
          <w:szCs w:val="24"/>
        </w:rPr>
        <w:t>Identify and describe the key anatomical structures of the nervous system.</w:t>
      </w:r>
    </w:p>
    <w:p w:rsidR="005256B3" w:rsidRDefault="00796C5F">
      <w:pPr>
        <w:numPr>
          <w:ilvl w:val="0"/>
          <w:numId w:val="2"/>
        </w:numPr>
        <w:rPr>
          <w:sz w:val="24"/>
          <w:szCs w:val="24"/>
        </w:rPr>
      </w:pPr>
      <w:r>
        <w:rPr>
          <w:sz w:val="24"/>
          <w:szCs w:val="24"/>
        </w:rPr>
        <w:t>Identify and describe the bones, joints and nerves of the upper extremity.</w:t>
      </w:r>
    </w:p>
    <w:p w:rsidR="005256B3" w:rsidRDefault="00796C5F">
      <w:pPr>
        <w:numPr>
          <w:ilvl w:val="0"/>
          <w:numId w:val="2"/>
        </w:numPr>
        <w:rPr>
          <w:sz w:val="24"/>
          <w:szCs w:val="24"/>
        </w:rPr>
      </w:pPr>
      <w:r>
        <w:rPr>
          <w:sz w:val="24"/>
          <w:szCs w:val="24"/>
        </w:rPr>
        <w:t>Identify and describe the blood supply and muscles of the upper extremity.</w:t>
      </w:r>
    </w:p>
    <w:p w:rsidR="005256B3" w:rsidRDefault="00796C5F">
      <w:pPr>
        <w:numPr>
          <w:ilvl w:val="0"/>
          <w:numId w:val="2"/>
        </w:numPr>
        <w:rPr>
          <w:sz w:val="24"/>
          <w:szCs w:val="24"/>
        </w:rPr>
      </w:pPr>
      <w:r>
        <w:rPr>
          <w:sz w:val="24"/>
          <w:szCs w:val="24"/>
        </w:rPr>
        <w:t>Identify and describe the key anatomical structures of the hand.</w:t>
      </w:r>
    </w:p>
    <w:p w:rsidR="005256B3" w:rsidRDefault="00796C5F">
      <w:pPr>
        <w:numPr>
          <w:ilvl w:val="0"/>
          <w:numId w:val="2"/>
        </w:numPr>
        <w:rPr>
          <w:sz w:val="24"/>
          <w:szCs w:val="24"/>
        </w:rPr>
      </w:pPr>
      <w:r>
        <w:rPr>
          <w:sz w:val="24"/>
          <w:szCs w:val="24"/>
        </w:rPr>
        <w:t>Identify and describe the functional anatomy of the upper extremity.</w:t>
      </w:r>
    </w:p>
    <w:p w:rsidR="005256B3" w:rsidRDefault="00796C5F">
      <w:pPr>
        <w:numPr>
          <w:ilvl w:val="0"/>
          <w:numId w:val="2"/>
        </w:numPr>
        <w:rPr>
          <w:sz w:val="24"/>
          <w:szCs w:val="24"/>
        </w:rPr>
      </w:pPr>
      <w:r>
        <w:rPr>
          <w:sz w:val="24"/>
          <w:szCs w:val="24"/>
        </w:rPr>
        <w:t>Identify and describe the key anatomical structures of the neck.</w:t>
      </w:r>
    </w:p>
    <w:p w:rsidR="005256B3" w:rsidRDefault="00796C5F">
      <w:pPr>
        <w:numPr>
          <w:ilvl w:val="0"/>
          <w:numId w:val="2"/>
        </w:numPr>
        <w:rPr>
          <w:sz w:val="24"/>
          <w:szCs w:val="24"/>
        </w:rPr>
      </w:pPr>
      <w:r>
        <w:rPr>
          <w:sz w:val="24"/>
          <w:szCs w:val="24"/>
        </w:rPr>
        <w:t>Identify and describe the key anatomical structures of the bones of the skull.</w:t>
      </w:r>
    </w:p>
    <w:p w:rsidR="005256B3" w:rsidRDefault="00796C5F">
      <w:pPr>
        <w:numPr>
          <w:ilvl w:val="0"/>
          <w:numId w:val="2"/>
        </w:numPr>
        <w:rPr>
          <w:sz w:val="24"/>
          <w:szCs w:val="24"/>
        </w:rPr>
      </w:pPr>
      <w:r>
        <w:rPr>
          <w:sz w:val="24"/>
          <w:szCs w:val="24"/>
        </w:rPr>
        <w:t>Identify and describe the key anatomical structures of the face.</w:t>
      </w:r>
    </w:p>
    <w:p w:rsidR="005256B3" w:rsidRDefault="00796C5F">
      <w:pPr>
        <w:numPr>
          <w:ilvl w:val="0"/>
          <w:numId w:val="2"/>
        </w:numPr>
        <w:rPr>
          <w:sz w:val="24"/>
          <w:szCs w:val="24"/>
        </w:rPr>
      </w:pPr>
      <w:r>
        <w:rPr>
          <w:sz w:val="24"/>
          <w:szCs w:val="24"/>
        </w:rPr>
        <w:t xml:space="preserve">Identify and describe the key anatomical structures of the temporal and </w:t>
      </w:r>
      <w:proofErr w:type="spellStart"/>
      <w:r>
        <w:rPr>
          <w:sz w:val="24"/>
          <w:szCs w:val="24"/>
        </w:rPr>
        <w:t>intratemporal</w:t>
      </w:r>
      <w:proofErr w:type="spellEnd"/>
      <w:r>
        <w:rPr>
          <w:sz w:val="24"/>
          <w:szCs w:val="24"/>
        </w:rPr>
        <w:t xml:space="preserve"> fossae and the TMJ.</w:t>
      </w:r>
    </w:p>
    <w:p w:rsidR="005256B3" w:rsidRDefault="00796C5F">
      <w:pPr>
        <w:numPr>
          <w:ilvl w:val="0"/>
          <w:numId w:val="2"/>
        </w:numPr>
        <w:rPr>
          <w:sz w:val="24"/>
          <w:szCs w:val="24"/>
        </w:rPr>
      </w:pPr>
      <w:r>
        <w:rPr>
          <w:sz w:val="24"/>
          <w:szCs w:val="24"/>
        </w:rPr>
        <w:t>Identify and describe the key anatomical structures of the larynx.</w:t>
      </w:r>
    </w:p>
    <w:p w:rsidR="005256B3" w:rsidRDefault="00796C5F">
      <w:pPr>
        <w:numPr>
          <w:ilvl w:val="0"/>
          <w:numId w:val="2"/>
        </w:numPr>
        <w:rPr>
          <w:sz w:val="24"/>
          <w:szCs w:val="24"/>
        </w:rPr>
      </w:pPr>
      <w:r>
        <w:rPr>
          <w:sz w:val="24"/>
          <w:szCs w:val="24"/>
        </w:rPr>
        <w:t>Identify and describe the key anatomical structures of the pectoral cranial cavity.</w:t>
      </w:r>
    </w:p>
    <w:p w:rsidR="005256B3" w:rsidRDefault="00796C5F">
      <w:pPr>
        <w:numPr>
          <w:ilvl w:val="0"/>
          <w:numId w:val="2"/>
        </w:numPr>
        <w:rPr>
          <w:sz w:val="24"/>
          <w:szCs w:val="24"/>
        </w:rPr>
      </w:pPr>
      <w:r>
        <w:rPr>
          <w:sz w:val="24"/>
          <w:szCs w:val="24"/>
        </w:rPr>
        <w:t>Identify and describe the key anatomical structures of the orbit.</w:t>
      </w:r>
    </w:p>
    <w:p w:rsidR="005256B3" w:rsidRDefault="00796C5F">
      <w:pPr>
        <w:numPr>
          <w:ilvl w:val="0"/>
          <w:numId w:val="2"/>
        </w:numPr>
        <w:rPr>
          <w:sz w:val="24"/>
          <w:szCs w:val="24"/>
        </w:rPr>
      </w:pPr>
      <w:r>
        <w:rPr>
          <w:sz w:val="24"/>
          <w:szCs w:val="24"/>
        </w:rPr>
        <w:t>Identify and describe the key anatomical structures of the tongue and pharynx.</w:t>
      </w:r>
    </w:p>
    <w:p w:rsidR="005256B3" w:rsidRDefault="00796C5F">
      <w:pPr>
        <w:numPr>
          <w:ilvl w:val="0"/>
          <w:numId w:val="2"/>
        </w:numPr>
        <w:rPr>
          <w:sz w:val="24"/>
          <w:szCs w:val="24"/>
        </w:rPr>
      </w:pPr>
      <w:r>
        <w:rPr>
          <w:sz w:val="24"/>
          <w:szCs w:val="24"/>
        </w:rPr>
        <w:t>Identify and describe the key anatomical structures of the nasal cavity and submandibular region.</w:t>
      </w:r>
    </w:p>
    <w:p w:rsidR="005256B3" w:rsidRDefault="00796C5F">
      <w:pPr>
        <w:numPr>
          <w:ilvl w:val="0"/>
          <w:numId w:val="2"/>
        </w:numPr>
        <w:rPr>
          <w:sz w:val="24"/>
          <w:szCs w:val="24"/>
        </w:rPr>
      </w:pPr>
      <w:r>
        <w:rPr>
          <w:sz w:val="24"/>
          <w:szCs w:val="24"/>
        </w:rPr>
        <w:t>Identify and describe the key anatomical structures of the maxillary nerve and cranial ganglia.</w:t>
      </w:r>
    </w:p>
    <w:p w:rsidR="005256B3" w:rsidRDefault="00796C5F">
      <w:pPr>
        <w:numPr>
          <w:ilvl w:val="0"/>
          <w:numId w:val="2"/>
        </w:numPr>
        <w:rPr>
          <w:sz w:val="24"/>
          <w:szCs w:val="24"/>
        </w:rPr>
      </w:pPr>
      <w:r>
        <w:rPr>
          <w:sz w:val="24"/>
          <w:szCs w:val="24"/>
        </w:rPr>
        <w:t>Identify and describe the key anatomical structures of the pterygopalatine fossa.</w:t>
      </w:r>
    </w:p>
    <w:p w:rsidR="005256B3" w:rsidRDefault="00796C5F">
      <w:pPr>
        <w:numPr>
          <w:ilvl w:val="0"/>
          <w:numId w:val="2"/>
        </w:numPr>
        <w:rPr>
          <w:sz w:val="24"/>
          <w:szCs w:val="24"/>
        </w:rPr>
      </w:pPr>
      <w:r>
        <w:rPr>
          <w:sz w:val="24"/>
          <w:szCs w:val="24"/>
        </w:rPr>
        <w:lastRenderedPageBreak/>
        <w:t>Identify and describe the key anatomical structures of the thoracic wall and pleura.</w:t>
      </w:r>
    </w:p>
    <w:p w:rsidR="005256B3" w:rsidRDefault="00796C5F">
      <w:pPr>
        <w:numPr>
          <w:ilvl w:val="0"/>
          <w:numId w:val="2"/>
        </w:numPr>
        <w:rPr>
          <w:sz w:val="24"/>
          <w:szCs w:val="24"/>
        </w:rPr>
      </w:pPr>
      <w:r>
        <w:rPr>
          <w:sz w:val="24"/>
          <w:szCs w:val="24"/>
        </w:rPr>
        <w:t>Identify and describe the key anatomical structures of the heart.</w:t>
      </w:r>
    </w:p>
    <w:p w:rsidR="005256B3" w:rsidRDefault="00796C5F">
      <w:pPr>
        <w:numPr>
          <w:ilvl w:val="0"/>
          <w:numId w:val="2"/>
        </w:numPr>
        <w:rPr>
          <w:sz w:val="24"/>
          <w:szCs w:val="24"/>
        </w:rPr>
      </w:pPr>
      <w:r>
        <w:rPr>
          <w:sz w:val="24"/>
          <w:szCs w:val="24"/>
        </w:rPr>
        <w:t>Identify and describe the key anatomical structures of the posterior mediastinum.</w:t>
      </w:r>
    </w:p>
    <w:p w:rsidR="005256B3" w:rsidRDefault="00796C5F">
      <w:pPr>
        <w:numPr>
          <w:ilvl w:val="0"/>
          <w:numId w:val="2"/>
        </w:numPr>
        <w:rPr>
          <w:sz w:val="24"/>
          <w:szCs w:val="24"/>
        </w:rPr>
      </w:pPr>
      <w:r>
        <w:rPr>
          <w:sz w:val="24"/>
          <w:szCs w:val="24"/>
        </w:rPr>
        <w:t>Identify and describe the key anatomical structures of the abdominal wall and Inguinal region</w:t>
      </w:r>
    </w:p>
    <w:p w:rsidR="005256B3" w:rsidRDefault="00796C5F">
      <w:pPr>
        <w:numPr>
          <w:ilvl w:val="0"/>
          <w:numId w:val="2"/>
        </w:numPr>
        <w:rPr>
          <w:sz w:val="24"/>
          <w:szCs w:val="24"/>
        </w:rPr>
      </w:pPr>
      <w:r>
        <w:rPr>
          <w:sz w:val="24"/>
          <w:szCs w:val="24"/>
        </w:rPr>
        <w:t>Identify and describe the key anatomical structures of the abdominal viscera</w:t>
      </w:r>
    </w:p>
    <w:p w:rsidR="005256B3" w:rsidRDefault="00796C5F">
      <w:pPr>
        <w:numPr>
          <w:ilvl w:val="0"/>
          <w:numId w:val="2"/>
        </w:numPr>
        <w:spacing w:after="280"/>
        <w:rPr>
          <w:sz w:val="24"/>
          <w:szCs w:val="24"/>
        </w:rPr>
      </w:pPr>
      <w:r>
        <w:rPr>
          <w:sz w:val="24"/>
          <w:szCs w:val="24"/>
        </w:rPr>
        <w:t>Identify and describe the key anatomical structures of the posterior abdominal wall</w:t>
      </w:r>
    </w:p>
    <w:p w:rsidR="005256B3" w:rsidRDefault="005256B3"/>
    <w:p w:rsidR="005256B3" w:rsidRDefault="00796C5F">
      <w:pPr>
        <w:pStyle w:val="Heading1"/>
        <w:rPr>
          <w:b/>
          <w:sz w:val="24"/>
          <w:szCs w:val="24"/>
        </w:rPr>
      </w:pPr>
      <w:bookmarkStart w:id="20" w:name="_heading=h.1y810tw" w:colFirst="0" w:colLast="0"/>
      <w:bookmarkEnd w:id="20"/>
      <w:r>
        <w:t>VII. Course Evaluation</w:t>
      </w:r>
    </w:p>
    <w:p w:rsidR="005256B3" w:rsidRDefault="005256B3">
      <w:pPr>
        <w:spacing w:before="280" w:after="280"/>
        <w:rPr>
          <w:b/>
          <w:sz w:val="24"/>
          <w:szCs w:val="24"/>
        </w:rPr>
      </w:pPr>
    </w:p>
    <w:p w:rsidR="005256B3" w:rsidRDefault="00796C5F">
      <w:pPr>
        <w:spacing w:before="280" w:after="280"/>
        <w:rPr>
          <w:sz w:val="24"/>
          <w:szCs w:val="24"/>
        </w:rPr>
      </w:pPr>
      <w:r>
        <w:rPr>
          <w:b/>
          <w:sz w:val="24"/>
          <w:szCs w:val="24"/>
        </w:rPr>
        <w:t>Attendance at all laboratory sessions is mandatory to work in teams.</w:t>
      </w:r>
    </w:p>
    <w:p w:rsidR="005256B3" w:rsidRDefault="00796C5F">
      <w:pPr>
        <w:spacing w:before="280" w:after="280"/>
        <w:rPr>
          <w:sz w:val="24"/>
          <w:szCs w:val="24"/>
        </w:rPr>
      </w:pPr>
      <w:r>
        <w:rPr>
          <w:sz w:val="24"/>
          <w:szCs w:val="24"/>
        </w:rPr>
        <w:t>Written and laboratory (practical) examinations will be given to evaluate student performance.</w:t>
      </w:r>
    </w:p>
    <w:p w:rsidR="005256B3" w:rsidRDefault="00796C5F">
      <w:pPr>
        <w:spacing w:before="280" w:after="280"/>
        <w:rPr>
          <w:sz w:val="24"/>
          <w:szCs w:val="24"/>
        </w:rPr>
      </w:pPr>
      <w:r>
        <w:rPr>
          <w:sz w:val="24"/>
          <w:szCs w:val="24"/>
        </w:rPr>
        <w:t>Written examinations: will consist of approximately 6-8 questions per lecture session, and will include multiple choice, matching and/or short answer questions.</w:t>
      </w:r>
    </w:p>
    <w:p w:rsidR="005256B3" w:rsidRDefault="00796C5F">
      <w:pPr>
        <w:spacing w:before="280" w:after="280"/>
        <w:rPr>
          <w:sz w:val="24"/>
          <w:szCs w:val="24"/>
        </w:rPr>
      </w:pPr>
      <w:r>
        <w:rPr>
          <w:sz w:val="24"/>
          <w:szCs w:val="24"/>
        </w:rPr>
        <w:t>Laboratory examinations: the student will be expected to identify structures in cadavers and on dry material.</w:t>
      </w:r>
    </w:p>
    <w:p w:rsidR="005256B3" w:rsidRDefault="00796C5F">
      <w:pPr>
        <w:pStyle w:val="Heading2"/>
        <w:spacing w:before="280" w:after="280"/>
      </w:pPr>
      <w:bookmarkStart w:id="21" w:name="_heading=h.4i7ojhp" w:colFirst="0" w:colLast="0"/>
      <w:bookmarkEnd w:id="21"/>
      <w:r>
        <w:t>Written Exams:</w:t>
      </w:r>
    </w:p>
    <w:p w:rsidR="005256B3" w:rsidRDefault="00796C5F">
      <w:pPr>
        <w:spacing w:before="280" w:after="280"/>
        <w:rPr>
          <w:sz w:val="24"/>
          <w:szCs w:val="24"/>
        </w:rPr>
      </w:pPr>
      <w:r>
        <w:rPr>
          <w:sz w:val="24"/>
          <w:szCs w:val="24"/>
        </w:rPr>
        <w:t>Exam 1= 16.5%</w:t>
      </w:r>
    </w:p>
    <w:p w:rsidR="005256B3" w:rsidRDefault="00796C5F">
      <w:pPr>
        <w:spacing w:before="280" w:after="280"/>
        <w:rPr>
          <w:sz w:val="24"/>
          <w:szCs w:val="24"/>
        </w:rPr>
      </w:pPr>
      <w:r>
        <w:rPr>
          <w:sz w:val="24"/>
          <w:szCs w:val="24"/>
        </w:rPr>
        <w:t>Exam 2=16.5%</w:t>
      </w:r>
    </w:p>
    <w:p w:rsidR="005256B3" w:rsidRDefault="00796C5F">
      <w:pPr>
        <w:spacing w:before="280" w:after="280"/>
        <w:rPr>
          <w:sz w:val="24"/>
          <w:szCs w:val="24"/>
        </w:rPr>
      </w:pPr>
      <w:r>
        <w:rPr>
          <w:sz w:val="24"/>
          <w:szCs w:val="24"/>
        </w:rPr>
        <w:t>Exam 3=16.5%</w:t>
      </w:r>
    </w:p>
    <w:p w:rsidR="005256B3" w:rsidRDefault="00796C5F">
      <w:pPr>
        <w:spacing w:before="280" w:after="280"/>
        <w:rPr>
          <w:sz w:val="24"/>
          <w:szCs w:val="24"/>
        </w:rPr>
      </w:pPr>
      <w:r>
        <w:rPr>
          <w:sz w:val="24"/>
          <w:szCs w:val="24"/>
        </w:rPr>
        <w:t>Exam 4=16.5%</w:t>
      </w:r>
    </w:p>
    <w:p w:rsidR="005256B3" w:rsidRDefault="00796C5F">
      <w:pPr>
        <w:pStyle w:val="Heading2"/>
        <w:spacing w:before="280" w:after="280"/>
      </w:pPr>
      <w:bookmarkStart w:id="22" w:name="_heading=h.2xcytpi" w:colFirst="0" w:colLast="0"/>
      <w:bookmarkEnd w:id="22"/>
      <w:r>
        <w:t xml:space="preserve">Lab Exams: </w:t>
      </w:r>
    </w:p>
    <w:p w:rsidR="005256B3" w:rsidRDefault="00796C5F">
      <w:pPr>
        <w:spacing w:before="280" w:after="280"/>
        <w:rPr>
          <w:sz w:val="24"/>
          <w:szCs w:val="24"/>
        </w:rPr>
      </w:pPr>
      <w:r>
        <w:rPr>
          <w:sz w:val="24"/>
          <w:szCs w:val="24"/>
        </w:rPr>
        <w:t>Exam 1= 8.5%</w:t>
      </w:r>
    </w:p>
    <w:p w:rsidR="005256B3" w:rsidRDefault="00796C5F">
      <w:pPr>
        <w:spacing w:before="280" w:after="280"/>
        <w:rPr>
          <w:sz w:val="24"/>
          <w:szCs w:val="24"/>
        </w:rPr>
      </w:pPr>
      <w:r>
        <w:rPr>
          <w:sz w:val="24"/>
          <w:szCs w:val="24"/>
        </w:rPr>
        <w:lastRenderedPageBreak/>
        <w:t>Exam 2= 8.5%</w:t>
      </w:r>
    </w:p>
    <w:p w:rsidR="005256B3" w:rsidRDefault="00796C5F">
      <w:pPr>
        <w:spacing w:before="280" w:after="280"/>
        <w:rPr>
          <w:sz w:val="24"/>
          <w:szCs w:val="24"/>
        </w:rPr>
      </w:pPr>
      <w:r>
        <w:rPr>
          <w:sz w:val="24"/>
          <w:szCs w:val="24"/>
        </w:rPr>
        <w:t>Exam 3= 8.5%</w:t>
      </w:r>
    </w:p>
    <w:p w:rsidR="005256B3" w:rsidRDefault="00796C5F">
      <w:pPr>
        <w:spacing w:before="280" w:after="280"/>
        <w:rPr>
          <w:sz w:val="24"/>
          <w:szCs w:val="24"/>
        </w:rPr>
      </w:pPr>
      <w:r>
        <w:rPr>
          <w:sz w:val="24"/>
          <w:szCs w:val="24"/>
        </w:rPr>
        <w:t>Exam 4= 8.5%</w:t>
      </w:r>
    </w:p>
    <w:p w:rsidR="005256B3" w:rsidRDefault="00796C5F">
      <w:pPr>
        <w:pStyle w:val="Heading2"/>
        <w:spacing w:before="280" w:after="280"/>
      </w:pPr>
      <w:bookmarkStart w:id="23" w:name="_heading=h.1ci93xb" w:colFirst="0" w:colLast="0"/>
      <w:bookmarkEnd w:id="23"/>
      <w:r>
        <w:t>Laboratory Examination &amp; Retake Practical Exam (maximum of 1):</w:t>
      </w:r>
    </w:p>
    <w:p w:rsidR="005256B3" w:rsidRDefault="00796C5F">
      <w:pPr>
        <w:spacing w:before="280" w:after="280"/>
        <w:rPr>
          <w:sz w:val="24"/>
          <w:szCs w:val="24"/>
        </w:rPr>
      </w:pPr>
      <w:r>
        <w:rPr>
          <w:sz w:val="24"/>
          <w:szCs w:val="24"/>
        </w:rPr>
        <w:t xml:space="preserve">Students may reattempt ONE laboratory practical exam with a score of 64 or below. If the student scores 65% or </w:t>
      </w:r>
      <w:proofErr w:type="gramStart"/>
      <w:r>
        <w:rPr>
          <w:sz w:val="24"/>
          <w:szCs w:val="24"/>
        </w:rPr>
        <w:t>above,  the</w:t>
      </w:r>
      <w:proofErr w:type="gramEnd"/>
      <w:r>
        <w:rPr>
          <w:sz w:val="24"/>
          <w:szCs w:val="24"/>
        </w:rPr>
        <w:t xml:space="preserve"> original score will be replaced by a 65%. If not the retake score will be the one earned. The highest grade a student can earn on a retaken laboratory exam is 65%. Because anatomic specimens cannot be accurately preserved for long periods of time, students scoring below 65% on the one laboratory practical examination must retake the exam within 72 hours.</w:t>
      </w:r>
    </w:p>
    <w:p w:rsidR="005256B3" w:rsidRDefault="00796C5F">
      <w:pPr>
        <w:pStyle w:val="Heading2"/>
        <w:spacing w:before="280" w:after="280"/>
      </w:pPr>
      <w:bookmarkStart w:id="24" w:name="_heading=h.3whwml4" w:colFirst="0" w:colLast="0"/>
      <w:bookmarkEnd w:id="24"/>
      <w:r>
        <w:rPr>
          <w:b/>
        </w:rPr>
        <w:t>Written Examination failure &amp; Retake Exams (maximum of 2</w:t>
      </w:r>
      <w:r>
        <w:t>):</w:t>
      </w:r>
    </w:p>
    <w:p w:rsidR="005256B3" w:rsidRDefault="00796C5F">
      <w:pPr>
        <w:spacing w:before="280" w:after="280"/>
        <w:rPr>
          <w:sz w:val="24"/>
          <w:szCs w:val="24"/>
        </w:rPr>
      </w:pPr>
      <w:r>
        <w:rPr>
          <w:sz w:val="24"/>
          <w:szCs w:val="24"/>
        </w:rPr>
        <w:t>Written examination one and two scores will be combined and averaged. Students will be required to take a retake examination on exam one and two topics if they do not achieve a minimum combined average score of 65% or higher on the combined average scores. The student must score 65% or above. This retake exam will be scheduled the week after Fall break. The original failing exam one OR two grades will be replaced by a 65% once the student passes the retake examination. The highest grade a student can earn on a retaken exam is 65%.</w:t>
      </w:r>
    </w:p>
    <w:p w:rsidR="005256B3" w:rsidRDefault="00796C5F">
      <w:pPr>
        <w:spacing w:before="280" w:after="280"/>
        <w:rPr>
          <w:sz w:val="24"/>
          <w:szCs w:val="24"/>
        </w:rPr>
      </w:pPr>
      <w:r>
        <w:rPr>
          <w:sz w:val="24"/>
          <w:szCs w:val="24"/>
        </w:rPr>
        <w:t>Written examination three and four scores will also be combined and averaged. Students will be required to take a retake examination on exam three and four topics if they do not achieve a minimum combined average score of 65% or higher on the combined average scores. The student must score 65% or above. This retake exam will be scheduled in December. The original failing exam three OR four grades will be replaced by a 65% once the student passes the retake examination. The highest grade a student can earn on a retaken exam is 65%.</w:t>
      </w:r>
    </w:p>
    <w:p w:rsidR="005256B3" w:rsidRDefault="00796C5F">
      <w:pPr>
        <w:spacing w:before="280" w:after="280"/>
        <w:rPr>
          <w:sz w:val="24"/>
          <w:szCs w:val="24"/>
        </w:rPr>
      </w:pPr>
      <w:r>
        <w:rPr>
          <w:sz w:val="24"/>
          <w:szCs w:val="24"/>
        </w:rPr>
        <w:t>Students whose final average score is below 65% will be awarded an “E” grade and reported to SPEC.</w:t>
      </w:r>
    </w:p>
    <w:p w:rsidR="005256B3" w:rsidRDefault="00796C5F">
      <w:pPr>
        <w:pStyle w:val="Heading2"/>
        <w:spacing w:before="280" w:after="280"/>
      </w:pPr>
      <w:bookmarkStart w:id="25" w:name="_heading=h.2bn6wsx" w:colFirst="0" w:colLast="0"/>
      <w:bookmarkEnd w:id="25"/>
      <w:r>
        <w:rPr>
          <w:b/>
        </w:rPr>
        <w:lastRenderedPageBreak/>
        <w:t>Course Remediation:</w:t>
      </w:r>
      <w:r>
        <w:t xml:space="preserve"> </w:t>
      </w:r>
    </w:p>
    <w:p w:rsidR="005256B3" w:rsidRDefault="00796C5F">
      <w:pPr>
        <w:spacing w:before="280" w:after="280"/>
        <w:rPr>
          <w:sz w:val="24"/>
          <w:szCs w:val="24"/>
        </w:rPr>
      </w:pPr>
      <w:r>
        <w:rPr>
          <w:sz w:val="24"/>
          <w:szCs w:val="24"/>
        </w:rPr>
        <w:t>The student would take a comprehensive written exam the first week in January with a minimum passing grade of 65% and the student would be awarded a "D" grade.</w:t>
      </w:r>
    </w:p>
    <w:p w:rsidR="005256B3" w:rsidRDefault="00796C5F">
      <w:pPr>
        <w:spacing w:before="280" w:after="280"/>
        <w:rPr>
          <w:sz w:val="24"/>
          <w:szCs w:val="24"/>
        </w:rPr>
      </w:pPr>
      <w:r>
        <w:rPr>
          <w:sz w:val="24"/>
          <w:szCs w:val="24"/>
        </w:rPr>
        <w:t xml:space="preserve"> </w:t>
      </w:r>
    </w:p>
    <w:p w:rsidR="005256B3" w:rsidRDefault="00796C5F">
      <w:pPr>
        <w:spacing w:before="280" w:after="280"/>
        <w:rPr>
          <w:sz w:val="24"/>
          <w:szCs w:val="24"/>
        </w:rPr>
      </w:pPr>
      <w:r>
        <w:rPr>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9">
        <w:r>
          <w:rPr>
            <w:color w:val="CC33CC"/>
            <w:sz w:val="24"/>
            <w:szCs w:val="24"/>
            <w:u w:val="single"/>
          </w:rPr>
          <w:t>https://ufl.bluera.com/ufl/</w:t>
        </w:r>
      </w:hyperlink>
      <w:r>
        <w:rPr>
          <w:sz w:val="24"/>
          <w:szCs w:val="24"/>
        </w:rPr>
        <w:t xml:space="preserve">. Students will be notified when the evaluation period opens, and can complete evaluations through the email they receive from GatorEvals, in their Canvas course menu under GatorEvals, or via </w:t>
      </w:r>
      <w:hyperlink r:id="rId10">
        <w:r>
          <w:rPr>
            <w:color w:val="CC33CC"/>
            <w:sz w:val="24"/>
            <w:szCs w:val="24"/>
            <w:u w:val="single"/>
          </w:rPr>
          <w:t>https://ufl.bluera.com/ufl/</w:t>
        </w:r>
      </w:hyperlink>
      <w:r>
        <w:rPr>
          <w:sz w:val="24"/>
          <w:szCs w:val="24"/>
        </w:rPr>
        <w:t xml:space="preserve">. Summaries of course evaluation results are available to students at </w:t>
      </w:r>
      <w:hyperlink r:id="rId11">
        <w:r>
          <w:rPr>
            <w:color w:val="CC33CC"/>
            <w:sz w:val="24"/>
            <w:szCs w:val="24"/>
            <w:u w:val="single"/>
          </w:rPr>
          <w:t>https://gatorevals.aa.ufl.edu/public-results/</w:t>
        </w:r>
      </w:hyperlink>
      <w:r>
        <w:rPr>
          <w:sz w:val="24"/>
          <w:szCs w:val="24"/>
        </w:rPr>
        <w:t>.”</w:t>
      </w:r>
    </w:p>
    <w:p w:rsidR="005256B3" w:rsidRDefault="00796C5F">
      <w:pPr>
        <w:pStyle w:val="Heading1"/>
        <w:keepNext w:val="0"/>
        <w:keepLines w:val="0"/>
        <w:shd w:val="clear" w:color="auto" w:fill="FFFFFF"/>
        <w:spacing w:before="480"/>
      </w:pPr>
      <w:bookmarkStart w:id="26" w:name="_heading=h.qsh70q" w:colFirst="0" w:colLast="0"/>
      <w:bookmarkEnd w:id="26"/>
      <w:r>
        <w:t>IX. Administrative Practices</w:t>
      </w:r>
    </w:p>
    <w:p w:rsidR="005256B3" w:rsidRDefault="00796C5F">
      <w:pPr>
        <w:shd w:val="clear" w:color="auto" w:fill="FFFFFF"/>
        <w:spacing w:before="240"/>
      </w:pPr>
      <w:r>
        <w:t>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5256B3" w:rsidRDefault="00451B94">
      <w:pPr>
        <w:shd w:val="clear" w:color="auto" w:fill="FFFFFF"/>
        <w:spacing w:before="240"/>
        <w:rPr>
          <w:sz w:val="24"/>
          <w:szCs w:val="24"/>
        </w:rPr>
      </w:pPr>
      <w:hyperlink r:id="rId12" w:history="1">
        <w:r w:rsidRPr="00300F3D">
          <w:rPr>
            <w:rStyle w:val="Hyperlink"/>
          </w:rPr>
          <w:t>https://dental.ufl.edu/education/dmd-program/course-policies/</w:t>
        </w:r>
      </w:hyperlink>
    </w:p>
    <w:p w:rsidR="005256B3" w:rsidRDefault="005256B3">
      <w:pPr>
        <w:spacing w:before="100" w:after="100"/>
        <w:rPr>
          <w:sz w:val="24"/>
          <w:szCs w:val="24"/>
        </w:rPr>
      </w:pPr>
    </w:p>
    <w:p w:rsidR="005256B3" w:rsidRDefault="00796C5F">
      <w:pPr>
        <w:pStyle w:val="Heading1"/>
      </w:pPr>
      <w:bookmarkStart w:id="27" w:name="_heading=h.3as4poj" w:colFirst="0" w:colLast="0"/>
      <w:bookmarkEnd w:id="27"/>
      <w:r>
        <w:t>X. Grade Scale</w:t>
      </w:r>
    </w:p>
    <w:tbl>
      <w:tblPr>
        <w:tblStyle w:val="a4"/>
        <w:tblW w:w="8035" w:type="dxa"/>
        <w:tblBorders>
          <w:top w:val="nil"/>
          <w:left w:val="nil"/>
          <w:bottom w:val="nil"/>
          <w:right w:val="nil"/>
          <w:insideH w:val="nil"/>
          <w:insideV w:val="nil"/>
        </w:tblBorders>
        <w:tblLayout w:type="fixed"/>
        <w:tblLook w:val="0600" w:firstRow="0" w:lastRow="0" w:firstColumn="0" w:lastColumn="0" w:noHBand="1" w:noVBand="1"/>
      </w:tblPr>
      <w:tblGrid>
        <w:gridCol w:w="1400"/>
        <w:gridCol w:w="6635"/>
      </w:tblGrid>
      <w:tr w:rsidR="005256B3">
        <w:trPr>
          <w:trHeight w:val="485"/>
        </w:trPr>
        <w:tc>
          <w:tcPr>
            <w:tcW w:w="8035" w:type="dxa"/>
            <w:gridSpan w:val="2"/>
            <w:tcBorders>
              <w:top w:val="nil"/>
              <w:left w:val="nil"/>
              <w:bottom w:val="nil"/>
              <w:right w:val="nil"/>
            </w:tcBorders>
            <w:tcMar>
              <w:top w:w="100" w:type="dxa"/>
              <w:left w:w="100" w:type="dxa"/>
              <w:bottom w:w="100" w:type="dxa"/>
              <w:right w:w="100" w:type="dxa"/>
            </w:tcMar>
          </w:tcPr>
          <w:p w:rsidR="005256B3" w:rsidRDefault="00796C5F">
            <w:pPr>
              <w:rPr>
                <w:sz w:val="24"/>
                <w:szCs w:val="24"/>
              </w:rPr>
            </w:pPr>
            <w:r>
              <w:rPr>
                <w:b/>
                <w:sz w:val="24"/>
                <w:szCs w:val="24"/>
              </w:rPr>
              <w:t xml:space="preserve">DEN5100C Grade Scale </w:t>
            </w:r>
          </w:p>
        </w:tc>
      </w:tr>
      <w:tr w:rsidR="005256B3">
        <w:trPr>
          <w:trHeight w:val="485"/>
        </w:trPr>
        <w:tc>
          <w:tcPr>
            <w:tcW w:w="1400" w:type="dxa"/>
            <w:tcBorders>
              <w:top w:val="nil"/>
              <w:left w:val="nil"/>
              <w:bottom w:val="nil"/>
              <w:right w:val="nil"/>
            </w:tcBorders>
            <w:shd w:val="clear" w:color="auto" w:fill="auto"/>
            <w:tcMar>
              <w:top w:w="100" w:type="dxa"/>
              <w:left w:w="100" w:type="dxa"/>
              <w:bottom w:w="100" w:type="dxa"/>
              <w:right w:w="100" w:type="dxa"/>
            </w:tcMar>
          </w:tcPr>
          <w:p w:rsidR="005256B3" w:rsidRDefault="00796C5F">
            <w:pPr>
              <w:rPr>
                <w:sz w:val="24"/>
                <w:szCs w:val="24"/>
              </w:rPr>
            </w:pPr>
            <w:r>
              <w:rPr>
                <w:b/>
                <w:sz w:val="24"/>
                <w:szCs w:val="24"/>
              </w:rPr>
              <w:t>Method</w:t>
            </w:r>
            <w:r>
              <w:rPr>
                <w:sz w:val="24"/>
                <w:szCs w:val="24"/>
              </w:rPr>
              <w:t xml:space="preserve"> </w:t>
            </w:r>
          </w:p>
        </w:tc>
        <w:tc>
          <w:tcPr>
            <w:tcW w:w="6635" w:type="dxa"/>
            <w:tcBorders>
              <w:top w:val="nil"/>
              <w:left w:val="nil"/>
              <w:bottom w:val="nil"/>
              <w:right w:val="nil"/>
            </w:tcBorders>
            <w:shd w:val="clear" w:color="auto" w:fill="auto"/>
            <w:tcMar>
              <w:top w:w="100" w:type="dxa"/>
              <w:left w:w="100" w:type="dxa"/>
              <w:bottom w:w="100" w:type="dxa"/>
              <w:right w:w="100" w:type="dxa"/>
            </w:tcMar>
          </w:tcPr>
          <w:p w:rsidR="005256B3" w:rsidRDefault="00796C5F">
            <w:pPr>
              <w:rPr>
                <w:sz w:val="24"/>
                <w:szCs w:val="24"/>
              </w:rPr>
            </w:pPr>
            <w:r>
              <w:rPr>
                <w:sz w:val="24"/>
                <w:szCs w:val="24"/>
              </w:rPr>
              <w:t xml:space="preserve">Letter Grade </w:t>
            </w:r>
          </w:p>
        </w:tc>
      </w:tr>
      <w:tr w:rsidR="005256B3">
        <w:trPr>
          <w:trHeight w:val="485"/>
        </w:trPr>
        <w:tc>
          <w:tcPr>
            <w:tcW w:w="1400" w:type="dxa"/>
            <w:shd w:val="clear" w:color="auto" w:fill="auto"/>
            <w:tcMar>
              <w:top w:w="100" w:type="dxa"/>
              <w:left w:w="100" w:type="dxa"/>
              <w:bottom w:w="100" w:type="dxa"/>
              <w:right w:w="100" w:type="dxa"/>
            </w:tcMar>
          </w:tcPr>
          <w:p w:rsidR="005256B3" w:rsidRDefault="00796C5F">
            <w:pPr>
              <w:rPr>
                <w:sz w:val="24"/>
                <w:szCs w:val="24"/>
              </w:rPr>
            </w:pPr>
            <w:r>
              <w:rPr>
                <w:b/>
                <w:sz w:val="24"/>
                <w:szCs w:val="24"/>
              </w:rPr>
              <w:t>Scale</w:t>
            </w:r>
            <w:r>
              <w:rPr>
                <w:sz w:val="24"/>
                <w:szCs w:val="24"/>
              </w:rPr>
              <w:t xml:space="preserve"> </w:t>
            </w:r>
          </w:p>
        </w:tc>
        <w:tc>
          <w:tcPr>
            <w:tcW w:w="6635" w:type="dxa"/>
            <w:shd w:val="clear" w:color="auto" w:fill="auto"/>
            <w:tcMar>
              <w:top w:w="100" w:type="dxa"/>
              <w:left w:w="100" w:type="dxa"/>
              <w:bottom w:w="100" w:type="dxa"/>
              <w:right w:w="100" w:type="dxa"/>
            </w:tcMar>
          </w:tcPr>
          <w:p w:rsidR="005256B3" w:rsidRDefault="00796C5F">
            <w:pPr>
              <w:rPr>
                <w:sz w:val="24"/>
                <w:szCs w:val="24"/>
              </w:rPr>
            </w:pPr>
            <w:r>
              <w:rPr>
                <w:sz w:val="24"/>
                <w:szCs w:val="24"/>
              </w:rPr>
              <w:t xml:space="preserve">100 </w:t>
            </w:r>
          </w:p>
        </w:tc>
      </w:tr>
    </w:tbl>
    <w:p w:rsidR="005256B3" w:rsidRDefault="005256B3">
      <w:pPr>
        <w:rPr>
          <w:sz w:val="24"/>
          <w:szCs w:val="24"/>
        </w:rPr>
      </w:pPr>
    </w:p>
    <w:p w:rsidR="007A4BB1" w:rsidRPr="00070495" w:rsidRDefault="007A4BB1" w:rsidP="007A4BB1">
      <w:pPr>
        <w:rPr>
          <w:rFonts w:cstheme="minorHAnsi"/>
          <w:bCs/>
          <w:color w:val="000000"/>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718"/>
      </w:tblGrid>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A</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95 -</w:t>
            </w:r>
          </w:p>
        </w:tc>
        <w:tc>
          <w:tcPr>
            <w:tcW w:w="718"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100</w:t>
            </w:r>
          </w:p>
        </w:tc>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A-</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90 -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95</w:t>
            </w:r>
          </w:p>
        </w:tc>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B</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86 -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90</w:t>
            </w:r>
          </w:p>
        </w:tc>
        <w:bookmarkStart w:id="28" w:name="_GoBack"/>
        <w:bookmarkEnd w:id="28"/>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lastRenderedPageBreak/>
              <w:t>B+</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82 -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86</w:t>
            </w:r>
          </w:p>
        </w:tc>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B-</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80 -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82</w:t>
            </w:r>
          </w:p>
        </w:tc>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C+</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74 -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80</w:t>
            </w:r>
          </w:p>
        </w:tc>
      </w:tr>
      <w:tr w:rsidR="007A4BB1" w:rsidRPr="00070495" w:rsidTr="00575D89">
        <w:trPr>
          <w:trHeight w:val="92"/>
        </w:trPr>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C</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72 -</w:t>
            </w:r>
          </w:p>
        </w:tc>
        <w:tc>
          <w:tcPr>
            <w:tcW w:w="718" w:type="dxa"/>
          </w:tcPr>
          <w:p w:rsidR="007A4BB1" w:rsidRPr="00070495" w:rsidRDefault="007A4BB1" w:rsidP="00575D89">
            <w:pPr>
              <w:spacing w:line="276" w:lineRule="auto"/>
              <w:rPr>
                <w:rFonts w:cstheme="minorHAnsi"/>
                <w:bCs/>
                <w:color w:val="000000"/>
                <w:szCs w:val="22"/>
              </w:rPr>
            </w:pPr>
            <w:r>
              <w:rPr>
                <w:rFonts w:cstheme="minorHAnsi"/>
                <w:bCs/>
                <w:color w:val="000000"/>
                <w:szCs w:val="22"/>
              </w:rPr>
              <w:t>74</w:t>
            </w:r>
          </w:p>
        </w:tc>
      </w:tr>
      <w:tr w:rsidR="007A4BB1" w:rsidRPr="00070495" w:rsidTr="00575D89">
        <w:tc>
          <w:tcPr>
            <w:tcW w:w="540" w:type="dxa"/>
          </w:tcPr>
          <w:p w:rsidR="007A4BB1" w:rsidRPr="00070495" w:rsidRDefault="007A4BB1" w:rsidP="00575D89">
            <w:pPr>
              <w:spacing w:line="276" w:lineRule="auto"/>
              <w:rPr>
                <w:rFonts w:cstheme="minorHAnsi"/>
                <w:bCs/>
                <w:color w:val="000000"/>
                <w:szCs w:val="22"/>
              </w:rPr>
            </w:pPr>
            <w:r w:rsidRPr="00070495">
              <w:rPr>
                <w:rFonts w:cstheme="minorHAnsi"/>
                <w:bCs/>
                <w:color w:val="000000"/>
                <w:szCs w:val="22"/>
              </w:rPr>
              <w:t>E</w:t>
            </w:r>
          </w:p>
        </w:tc>
        <w:tc>
          <w:tcPr>
            <w:tcW w:w="630" w:type="dxa"/>
          </w:tcPr>
          <w:p w:rsidR="007A4BB1" w:rsidRPr="00070495" w:rsidRDefault="007A4BB1" w:rsidP="00575D89">
            <w:pPr>
              <w:spacing w:line="276" w:lineRule="auto"/>
              <w:jc w:val="right"/>
              <w:rPr>
                <w:rFonts w:cstheme="minorHAnsi"/>
                <w:bCs/>
                <w:color w:val="000000"/>
                <w:szCs w:val="22"/>
              </w:rPr>
            </w:pPr>
            <w:r w:rsidRPr="00070495">
              <w:rPr>
                <w:rFonts w:cstheme="minorHAnsi"/>
                <w:bCs/>
                <w:color w:val="000000"/>
                <w:szCs w:val="22"/>
              </w:rPr>
              <w:t>&lt;72</w:t>
            </w:r>
          </w:p>
        </w:tc>
        <w:tc>
          <w:tcPr>
            <w:tcW w:w="718" w:type="dxa"/>
          </w:tcPr>
          <w:p w:rsidR="007A4BB1" w:rsidRPr="00070495" w:rsidRDefault="007A4BB1" w:rsidP="00575D89">
            <w:pPr>
              <w:spacing w:line="276" w:lineRule="auto"/>
              <w:rPr>
                <w:rFonts w:cstheme="minorHAnsi"/>
                <w:bCs/>
                <w:color w:val="000000"/>
                <w:szCs w:val="22"/>
              </w:rPr>
            </w:pPr>
          </w:p>
        </w:tc>
      </w:tr>
    </w:tbl>
    <w:p w:rsidR="00F24F13" w:rsidRDefault="00F24F13">
      <w:pPr>
        <w:rPr>
          <w:sz w:val="24"/>
          <w:szCs w:val="24"/>
        </w:rPr>
      </w:pPr>
    </w:p>
    <w:sectPr w:rsidR="00F24F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2C7"/>
    <w:multiLevelType w:val="multilevel"/>
    <w:tmpl w:val="ABC09A8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F0C70E3"/>
    <w:multiLevelType w:val="multilevel"/>
    <w:tmpl w:val="E54C18B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B3"/>
    <w:rsid w:val="00451B94"/>
    <w:rsid w:val="005256B3"/>
    <w:rsid w:val="00796C5F"/>
    <w:rsid w:val="007A4BB1"/>
    <w:rsid w:val="00F2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7DF3"/>
  <w15:docId w15:val="{18DFC488-6B57-45CA-93CB-54C6AEBE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24F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51B94"/>
    <w:rPr>
      <w:color w:val="0000FF" w:themeColor="hyperlink"/>
      <w:u w:val="single"/>
    </w:rPr>
  </w:style>
  <w:style w:type="character" w:styleId="UnresolvedMention">
    <w:name w:val="Unresolved Mention"/>
    <w:basedOn w:val="DefaultParagraphFont"/>
    <w:uiPriority w:val="99"/>
    <w:semiHidden/>
    <w:unhideWhenUsed/>
    <w:rsid w:val="00451B94"/>
    <w:rPr>
      <w:color w:val="605E5C"/>
      <w:shd w:val="clear" w:color="auto" w:fill="E1DFDD"/>
    </w:rPr>
  </w:style>
  <w:style w:type="table" w:styleId="TableGrid">
    <w:name w:val="Table Grid"/>
    <w:basedOn w:val="TableNormal"/>
    <w:uiPriority w:val="39"/>
    <w:rsid w:val="007A4BB1"/>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5318">
      <w:bodyDiv w:val="1"/>
      <w:marLeft w:val="0"/>
      <w:marRight w:val="0"/>
      <w:marTop w:val="0"/>
      <w:marBottom w:val="0"/>
      <w:divBdr>
        <w:top w:val="none" w:sz="0" w:space="0" w:color="auto"/>
        <w:left w:val="none" w:sz="0" w:space="0" w:color="auto"/>
        <w:bottom w:val="none" w:sz="0" w:space="0" w:color="auto"/>
        <w:right w:val="none" w:sz="0" w:space="0" w:color="auto"/>
      </w:divBdr>
      <w:divsChild>
        <w:div w:id="1707171907">
          <w:marLeft w:val="555"/>
          <w:marRight w:val="0"/>
          <w:marTop w:val="0"/>
          <w:marBottom w:val="0"/>
          <w:divBdr>
            <w:top w:val="none" w:sz="0" w:space="0" w:color="auto"/>
            <w:left w:val="none" w:sz="0" w:space="0" w:color="auto"/>
            <w:bottom w:val="none" w:sz="0" w:space="0" w:color="auto"/>
            <w:right w:val="none" w:sz="0" w:space="0" w:color="auto"/>
          </w:divBdr>
        </w:div>
      </w:divsChild>
    </w:div>
    <w:div w:id="1268804666">
      <w:bodyDiv w:val="1"/>
      <w:marLeft w:val="0"/>
      <w:marRight w:val="0"/>
      <w:marTop w:val="0"/>
      <w:marBottom w:val="0"/>
      <w:divBdr>
        <w:top w:val="none" w:sz="0" w:space="0" w:color="auto"/>
        <w:left w:val="none" w:sz="0" w:space="0" w:color="auto"/>
        <w:bottom w:val="none" w:sz="0" w:space="0" w:color="auto"/>
        <w:right w:val="none" w:sz="0" w:space="0" w:color="auto"/>
      </w:divBdr>
      <w:divsChild>
        <w:div w:id="629365681">
          <w:marLeft w:val="55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uides.uflib.ufl.edu/den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rary.health.ufl.edu/" TargetMode="External"/><Relationship Id="rId12" Type="http://schemas.openxmlformats.org/officeDocument/2006/relationships/hyperlink" Target="https://dental.ufl.edu/education/dmd-program/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cip.meded.com/integrated/ha/" TargetMode="External"/><Relationship Id="rId11" Type="http://schemas.openxmlformats.org/officeDocument/2006/relationships/hyperlink" Target="https://gatorevals.aa.ufl.edu/public-results/" TargetMode="External"/><Relationship Id="rId5" Type="http://schemas.openxmlformats.org/officeDocument/2006/relationships/webSettings" Target="webSettings.xml"/><Relationship Id="rId10" Type="http://schemas.openxmlformats.org/officeDocument/2006/relationships/hyperlink" Target="https://ufl.bluera.com/ufl/" TargetMode="External"/><Relationship Id="rId4" Type="http://schemas.openxmlformats.org/officeDocument/2006/relationships/settings" Target="settings.xml"/><Relationship Id="rId9" Type="http://schemas.openxmlformats.org/officeDocument/2006/relationships/hyperlink" Target="https://gatorevals.aa.ufl.edu/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Vhf/nul0Ia5fZZKTdESsXaXHg==">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Nonabur,Venkatesh</dc:creator>
  <cp:lastModifiedBy>Ryan,Christina L</cp:lastModifiedBy>
  <cp:revision>2</cp:revision>
  <dcterms:created xsi:type="dcterms:W3CDTF">2021-08-18T13:24:00Z</dcterms:created>
  <dcterms:modified xsi:type="dcterms:W3CDTF">2021-08-18T13:24:00Z</dcterms:modified>
</cp:coreProperties>
</file>