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F0C" w:rsidRPr="00E56BAD" w:rsidRDefault="00EE6F0C" w:rsidP="00EE6F0C">
      <w:pPr>
        <w:pStyle w:val="Title"/>
        <w:jc w:val="center"/>
      </w:pPr>
      <w:r w:rsidRPr="00E56BAD">
        <w:t>DEN7819L: Clinical Orthodontics</w:t>
      </w:r>
    </w:p>
    <w:p w:rsidR="00EE6F0C" w:rsidRPr="00E56BAD" w:rsidRDefault="00EE6F0C" w:rsidP="00EE6F0C">
      <w:pPr>
        <w:pStyle w:val="Subtitle"/>
        <w:jc w:val="center"/>
        <w:rPr>
          <w:color w:val="auto"/>
        </w:rPr>
      </w:pPr>
      <w:r w:rsidRPr="00E56BAD">
        <w:rPr>
          <w:color w:val="auto"/>
        </w:rPr>
        <w:t>Fall 2021</w:t>
      </w:r>
    </w:p>
    <w:p w:rsidR="00BE3CD9" w:rsidRDefault="00636245">
      <w:pPr>
        <w:pStyle w:val="Heading1"/>
      </w:pPr>
      <w:r>
        <w:t>Course Description:</w:t>
      </w:r>
    </w:p>
    <w:p w:rsidR="00BE3CD9" w:rsidRDefault="00636245">
      <w:r>
        <w:t xml:space="preserve">Evaluation of orthodontic needs and treatment planning strategies for the treatment of mixed and adult dentitions will be discussed in an interactive forum. </w:t>
      </w:r>
    </w:p>
    <w:p w:rsidR="009E68A3" w:rsidRPr="00C74EFB" w:rsidRDefault="009E68A3" w:rsidP="009E68A3">
      <w:pPr>
        <w:spacing w:before="480" w:after="120" w:line="240" w:lineRule="auto"/>
        <w:outlineLvl w:val="0"/>
        <w:rPr>
          <w:rFonts w:ascii="Times New Roman" w:eastAsia="Times New Roman" w:hAnsi="Times New Roman" w:cs="Times New Roman"/>
          <w:b/>
          <w:bCs/>
          <w:kern w:val="36"/>
          <w:sz w:val="48"/>
          <w:szCs w:val="48"/>
          <w:lang w:val="en-US"/>
        </w:rPr>
      </w:pPr>
      <w:bookmarkStart w:id="0" w:name="_fmenoa7weixj" w:colFirst="0" w:colLast="0"/>
      <w:bookmarkEnd w:id="0"/>
      <w:r w:rsidRPr="00C74EFB">
        <w:rPr>
          <w:rFonts w:eastAsia="Times New Roman"/>
          <w:b/>
          <w:bCs/>
          <w:color w:val="000000"/>
          <w:kern w:val="36"/>
          <w:sz w:val="46"/>
          <w:szCs w:val="46"/>
          <w:lang w:val="en-US"/>
        </w:rPr>
        <w:t>I. General Information</w:t>
      </w:r>
    </w:p>
    <w:p w:rsidR="009E68A3" w:rsidRPr="00C74EFB" w:rsidRDefault="009E68A3" w:rsidP="009E68A3">
      <w:pPr>
        <w:spacing w:before="360" w:after="80" w:line="240" w:lineRule="auto"/>
        <w:outlineLvl w:val="1"/>
        <w:rPr>
          <w:rFonts w:ascii="Times New Roman" w:eastAsia="Times New Roman" w:hAnsi="Times New Roman" w:cs="Times New Roman"/>
          <w:b/>
          <w:bCs/>
          <w:sz w:val="36"/>
          <w:szCs w:val="36"/>
          <w:lang w:val="en-US"/>
        </w:rPr>
      </w:pPr>
      <w:r w:rsidRPr="00C74EFB">
        <w:rPr>
          <w:rFonts w:eastAsia="Times New Roman"/>
          <w:b/>
          <w:bCs/>
          <w:color w:val="000000"/>
          <w:sz w:val="34"/>
          <w:szCs w:val="34"/>
          <w:lang w:val="en-US"/>
        </w:rPr>
        <w:t>Course Director:</w:t>
      </w:r>
    </w:p>
    <w:p w:rsidR="009E68A3" w:rsidRPr="00C74EFB" w:rsidRDefault="009E68A3" w:rsidP="009E68A3">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 Course Director:     </w:t>
      </w:r>
      <w:r w:rsidRPr="00C74EFB">
        <w:rPr>
          <w:rFonts w:eastAsia="Times New Roman"/>
          <w:color w:val="000000"/>
          <w:lang w:val="en-US"/>
        </w:rPr>
        <w:tab/>
        <w:t>Divakar Karanth</w:t>
      </w:r>
    </w:p>
    <w:p w:rsidR="009E68A3" w:rsidRPr="00C74EFB" w:rsidRDefault="009E68A3" w:rsidP="009E68A3">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Office:                      </w:t>
      </w:r>
      <w:r w:rsidRPr="00C74EFB">
        <w:rPr>
          <w:rFonts w:eastAsia="Times New Roman"/>
          <w:color w:val="000000"/>
          <w:lang w:val="en-US"/>
        </w:rPr>
        <w:tab/>
        <w:t>D719-D</w:t>
      </w:r>
    </w:p>
    <w:p w:rsidR="009E68A3" w:rsidRPr="00C74EFB" w:rsidRDefault="009E68A3" w:rsidP="009E68A3">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Email:                      </w:t>
      </w:r>
      <w:r w:rsidRPr="00C74EFB">
        <w:rPr>
          <w:rFonts w:eastAsia="Times New Roman"/>
          <w:color w:val="000000"/>
          <w:lang w:val="en-US"/>
        </w:rPr>
        <w:tab/>
        <w:t>DKaranth@dental.ufl.edu</w:t>
      </w:r>
    </w:p>
    <w:p w:rsidR="009E68A3" w:rsidRPr="00C74EFB" w:rsidRDefault="009E68A3" w:rsidP="009E68A3">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Phone:                     </w:t>
      </w:r>
      <w:r w:rsidRPr="00C74EFB">
        <w:rPr>
          <w:rFonts w:eastAsia="Times New Roman"/>
          <w:color w:val="000000"/>
          <w:lang w:val="en-US"/>
        </w:rPr>
        <w:tab/>
        <w:t>(352) 273-5693</w:t>
      </w:r>
    </w:p>
    <w:p w:rsidR="009E68A3" w:rsidRPr="00C74EFB" w:rsidRDefault="009E68A3" w:rsidP="009E68A3">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Course Credits:       </w:t>
      </w:r>
      <w:r w:rsidRPr="00C74EFB">
        <w:rPr>
          <w:rFonts w:eastAsia="Times New Roman"/>
          <w:color w:val="000000"/>
          <w:lang w:val="en-US"/>
        </w:rPr>
        <w:tab/>
        <w:t>1</w:t>
      </w:r>
    </w:p>
    <w:p w:rsidR="009E68A3" w:rsidRPr="00C74EFB" w:rsidRDefault="009E68A3" w:rsidP="009E68A3">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Semester:                </w:t>
      </w:r>
      <w:r w:rsidRPr="00C74EFB">
        <w:rPr>
          <w:rFonts w:eastAsia="Times New Roman"/>
          <w:color w:val="000000"/>
          <w:lang w:val="en-US"/>
        </w:rPr>
        <w:tab/>
      </w:r>
      <w:r>
        <w:rPr>
          <w:rFonts w:eastAsia="Times New Roman"/>
          <w:color w:val="000000"/>
          <w:lang w:val="en-US"/>
        </w:rPr>
        <w:t>Fall</w:t>
      </w:r>
    </w:p>
    <w:p w:rsidR="009E68A3" w:rsidRPr="00C74EFB" w:rsidRDefault="009E68A3" w:rsidP="009E68A3">
      <w:pPr>
        <w:spacing w:before="360" w:after="80" w:line="240" w:lineRule="auto"/>
        <w:outlineLvl w:val="1"/>
        <w:rPr>
          <w:rFonts w:ascii="Times New Roman" w:eastAsia="Times New Roman" w:hAnsi="Times New Roman" w:cs="Times New Roman"/>
          <w:b/>
          <w:bCs/>
          <w:sz w:val="36"/>
          <w:szCs w:val="36"/>
          <w:lang w:val="en-US"/>
        </w:rPr>
      </w:pPr>
      <w:r w:rsidRPr="00C74EFB">
        <w:rPr>
          <w:rFonts w:eastAsia="Times New Roman"/>
          <w:b/>
          <w:bCs/>
          <w:color w:val="000000"/>
          <w:sz w:val="34"/>
          <w:szCs w:val="34"/>
          <w:lang w:val="en-US"/>
        </w:rPr>
        <w:t>Contributing Faculty</w:t>
      </w:r>
    </w:p>
    <w:p w:rsidR="009E68A3" w:rsidRPr="00C74EFB" w:rsidRDefault="009E68A3" w:rsidP="009E68A3">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Divakar Karanth                  </w:t>
      </w:r>
      <w:r w:rsidRPr="00C74EFB">
        <w:rPr>
          <w:rFonts w:eastAsia="Times New Roman"/>
          <w:color w:val="000000"/>
          <w:lang w:val="en-US"/>
        </w:rPr>
        <w:tab/>
        <w:t xml:space="preserve">(352) 273-5693        </w:t>
      </w:r>
      <w:r w:rsidRPr="00C74EFB">
        <w:rPr>
          <w:rFonts w:eastAsia="Times New Roman"/>
          <w:color w:val="000000"/>
          <w:lang w:val="en-US"/>
        </w:rPr>
        <w:tab/>
        <w:t>DKARANTH@dental.ufl.edu</w:t>
      </w:r>
    </w:p>
    <w:p w:rsidR="009E68A3" w:rsidRPr="00C74EFB" w:rsidRDefault="009E68A3" w:rsidP="009E68A3">
      <w:pPr>
        <w:spacing w:before="360" w:after="80" w:line="240" w:lineRule="auto"/>
        <w:outlineLvl w:val="1"/>
        <w:rPr>
          <w:rFonts w:ascii="Times New Roman" w:eastAsia="Times New Roman" w:hAnsi="Times New Roman" w:cs="Times New Roman"/>
          <w:b/>
          <w:bCs/>
          <w:sz w:val="36"/>
          <w:szCs w:val="36"/>
          <w:lang w:val="en-US"/>
        </w:rPr>
      </w:pPr>
      <w:r w:rsidRPr="00C74EFB">
        <w:rPr>
          <w:rFonts w:eastAsia="Times New Roman"/>
          <w:b/>
          <w:bCs/>
          <w:color w:val="000000"/>
          <w:sz w:val="34"/>
          <w:szCs w:val="34"/>
          <w:lang w:val="en-US"/>
        </w:rPr>
        <w:t>Support Staff</w:t>
      </w:r>
    </w:p>
    <w:p w:rsidR="009E68A3" w:rsidRPr="00C74EFB" w:rsidRDefault="009E68A3" w:rsidP="009E68A3">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Katherine C Ochoa             </w:t>
      </w:r>
      <w:r w:rsidRPr="00C74EFB">
        <w:rPr>
          <w:rFonts w:eastAsia="Times New Roman"/>
          <w:color w:val="000000"/>
          <w:lang w:val="en-US"/>
        </w:rPr>
        <w:tab/>
        <w:t xml:space="preserve">(352) 273-5700          </w:t>
      </w:r>
      <w:r w:rsidRPr="00C74EFB">
        <w:rPr>
          <w:rFonts w:eastAsia="Times New Roman"/>
          <w:color w:val="000000"/>
          <w:lang w:val="en-US"/>
        </w:rPr>
        <w:tab/>
        <w:t xml:space="preserve">kochoa@dental.ufl.edu       </w:t>
      </w:r>
      <w:r w:rsidRPr="00C74EFB">
        <w:rPr>
          <w:rFonts w:eastAsia="Times New Roman"/>
          <w:color w:val="000000"/>
          <w:lang w:val="en-US"/>
        </w:rPr>
        <w:tab/>
        <w:t>TA / Grade Administrator </w:t>
      </w:r>
    </w:p>
    <w:p w:rsidR="00BE3CD9" w:rsidRDefault="00636245">
      <w:pPr>
        <w:pStyle w:val="Heading1"/>
      </w:pPr>
      <w:bookmarkStart w:id="1" w:name="_3ytermnlusir" w:colFirst="0" w:colLast="0"/>
      <w:bookmarkEnd w:id="1"/>
      <w:r>
        <w:t>II. Course Goals</w:t>
      </w:r>
    </w:p>
    <w:p w:rsidR="00BE3CD9" w:rsidRDefault="00636245" w:rsidP="009813B0">
      <w:pPr>
        <w:jc w:val="both"/>
      </w:pPr>
      <w:r>
        <w:t>The educational goal of this course is to give you the tools to a) analyze and plan mixed dentition space maintenance, b) recognize the need to refer complex malocclusion cases to a specialist in a timely manner, c) explain diagnosis to patient/parent in terms appropriate for a layperson, and d) explain case to a professional in appropriate terms.</w:t>
      </w:r>
    </w:p>
    <w:p w:rsidR="00BE3CD9" w:rsidRDefault="00636245">
      <w:pPr>
        <w:pStyle w:val="Heading1"/>
      </w:pPr>
      <w:bookmarkStart w:id="2" w:name="_qh9hhaz9gut2" w:colFirst="0" w:colLast="0"/>
      <w:bookmarkEnd w:id="2"/>
      <w:r>
        <w:lastRenderedPageBreak/>
        <w:t>III. Course Overview</w:t>
      </w:r>
    </w:p>
    <w:p w:rsidR="00BE3CD9" w:rsidRDefault="00636245" w:rsidP="009813B0">
      <w:pPr>
        <w:jc w:val="both"/>
      </w:pPr>
      <w:r>
        <w:t>This course reviews clinical orthodontics as it relates to the general dentist. The course contains three seminars that includes an interactive clear aligner therapy laboratory. Attendance is mandatory.</w:t>
      </w:r>
    </w:p>
    <w:p w:rsidR="00BE3CD9" w:rsidRDefault="00636245" w:rsidP="009813B0">
      <w:pPr>
        <w:jc w:val="both"/>
      </w:pPr>
      <w:r>
        <w:t>Student attendance during school hours (7:25 am - 4:55 pm) is required on all days officially scheduled on the annual school calendar. In general, acceptable reasons for absence from or failure to participate in class include illness, serious family emergencies, special curricular requirements (e.g., professional conferences), military obligation, severe weather conditions and religious holidays. Absences from class for court-imposed legal obligations (e.g., jury duty or subpoena) must be excused. Other reasons also may be approved. For any deviation from this policy, the procedures described in the UFCD Student Handbook must be followed. More information can be found on this website, UF Attendance Policies.</w:t>
      </w:r>
    </w:p>
    <w:p w:rsidR="00BE3CD9" w:rsidRDefault="00BE3CD9"/>
    <w:p w:rsidR="00BE3CD9" w:rsidRDefault="00636245">
      <w:pPr>
        <w:pStyle w:val="Heading1"/>
      </w:pPr>
      <w:bookmarkStart w:id="3" w:name="_4mzbrahl6pnw" w:colFirst="0" w:colLast="0"/>
      <w:bookmarkEnd w:id="3"/>
      <w:r>
        <w:t>IV. Course Outline</w:t>
      </w:r>
    </w:p>
    <w:p w:rsidR="00BE3CD9" w:rsidRDefault="00636245">
      <w:r>
        <w:t>All students will complete the course in Semester 7.</w:t>
      </w:r>
    </w:p>
    <w:tbl>
      <w:tblPr>
        <w:tblStyle w:val="a"/>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5"/>
        <w:gridCol w:w="2315"/>
        <w:gridCol w:w="2315"/>
        <w:gridCol w:w="2315"/>
      </w:tblGrid>
      <w:tr w:rsidR="00E768A6" w:rsidTr="00E768A6">
        <w:tc>
          <w:tcPr>
            <w:tcW w:w="2315" w:type="dxa"/>
            <w:shd w:val="clear" w:color="auto" w:fill="auto"/>
            <w:tcMar>
              <w:top w:w="100" w:type="dxa"/>
              <w:left w:w="100" w:type="dxa"/>
              <w:bottom w:w="100" w:type="dxa"/>
              <w:right w:w="100" w:type="dxa"/>
            </w:tcMar>
          </w:tcPr>
          <w:p w:rsidR="00E768A6" w:rsidRDefault="00E768A6">
            <w:pPr>
              <w:jc w:val="center"/>
              <w:rPr>
                <w:b/>
              </w:rPr>
            </w:pPr>
            <w:r>
              <w:rPr>
                <w:b/>
              </w:rPr>
              <w:t xml:space="preserve">Seminar 1 – </w:t>
            </w:r>
          </w:p>
          <w:p w:rsidR="00E768A6" w:rsidRDefault="00E768A6">
            <w:pPr>
              <w:jc w:val="center"/>
              <w:rPr>
                <w:b/>
              </w:rPr>
            </w:pPr>
            <w:r>
              <w:rPr>
                <w:b/>
              </w:rPr>
              <w:t>Case Review</w:t>
            </w:r>
          </w:p>
        </w:tc>
        <w:tc>
          <w:tcPr>
            <w:tcW w:w="2315" w:type="dxa"/>
            <w:shd w:val="clear" w:color="auto" w:fill="auto"/>
            <w:tcMar>
              <w:top w:w="100" w:type="dxa"/>
              <w:left w:w="100" w:type="dxa"/>
              <w:bottom w:w="100" w:type="dxa"/>
              <w:right w:w="100" w:type="dxa"/>
            </w:tcMar>
          </w:tcPr>
          <w:p w:rsidR="00E768A6" w:rsidRDefault="00E768A6">
            <w:pPr>
              <w:jc w:val="center"/>
              <w:rPr>
                <w:b/>
              </w:rPr>
            </w:pPr>
            <w:r>
              <w:rPr>
                <w:b/>
              </w:rPr>
              <w:t xml:space="preserve">Seminar 2 – </w:t>
            </w:r>
          </w:p>
          <w:p w:rsidR="00E768A6" w:rsidRDefault="00E768A6">
            <w:pPr>
              <w:jc w:val="center"/>
              <w:rPr>
                <w:b/>
              </w:rPr>
            </w:pPr>
            <w:r>
              <w:rPr>
                <w:b/>
              </w:rPr>
              <w:t>Analyzing orthodontic records</w:t>
            </w:r>
          </w:p>
        </w:tc>
        <w:tc>
          <w:tcPr>
            <w:tcW w:w="2315" w:type="dxa"/>
            <w:shd w:val="clear" w:color="auto" w:fill="auto"/>
            <w:tcMar>
              <w:top w:w="100" w:type="dxa"/>
              <w:left w:w="100" w:type="dxa"/>
              <w:bottom w:w="100" w:type="dxa"/>
              <w:right w:w="100" w:type="dxa"/>
            </w:tcMar>
          </w:tcPr>
          <w:p w:rsidR="00E768A6" w:rsidRDefault="00E768A6">
            <w:pPr>
              <w:jc w:val="center"/>
              <w:rPr>
                <w:b/>
              </w:rPr>
            </w:pPr>
            <w:r>
              <w:rPr>
                <w:b/>
              </w:rPr>
              <w:t xml:space="preserve">Seminar 3 – </w:t>
            </w:r>
          </w:p>
          <w:p w:rsidR="00E768A6" w:rsidRDefault="00E768A6">
            <w:pPr>
              <w:jc w:val="center"/>
              <w:rPr>
                <w:b/>
              </w:rPr>
            </w:pPr>
            <w:r>
              <w:rPr>
                <w:b/>
              </w:rPr>
              <w:t xml:space="preserve">Orthodontic treatment decisions </w:t>
            </w:r>
          </w:p>
        </w:tc>
        <w:tc>
          <w:tcPr>
            <w:tcW w:w="2315" w:type="dxa"/>
          </w:tcPr>
          <w:p w:rsidR="00E768A6" w:rsidRPr="00E768A6" w:rsidRDefault="00E768A6" w:rsidP="00E768A6">
            <w:pPr>
              <w:rPr>
                <w:b/>
              </w:rPr>
            </w:pPr>
            <w:r w:rsidRPr="00E768A6">
              <w:rPr>
                <w:b/>
              </w:rPr>
              <w:t>Final competency exam</w:t>
            </w:r>
          </w:p>
        </w:tc>
      </w:tr>
      <w:tr w:rsidR="00E768A6" w:rsidTr="00E768A6">
        <w:tc>
          <w:tcPr>
            <w:tcW w:w="2315" w:type="dxa"/>
            <w:shd w:val="clear" w:color="auto" w:fill="auto"/>
            <w:tcMar>
              <w:top w:w="100" w:type="dxa"/>
              <w:left w:w="100" w:type="dxa"/>
              <w:bottom w:w="100" w:type="dxa"/>
              <w:right w:w="100" w:type="dxa"/>
            </w:tcMar>
          </w:tcPr>
          <w:p w:rsidR="00E768A6" w:rsidRDefault="00E768A6" w:rsidP="00E768A6">
            <w:pPr>
              <w:widowControl w:val="0"/>
              <w:pBdr>
                <w:top w:val="nil"/>
                <w:left w:val="nil"/>
                <w:bottom w:val="nil"/>
                <w:right w:val="nil"/>
                <w:between w:val="nil"/>
              </w:pBdr>
              <w:spacing w:line="240" w:lineRule="auto"/>
            </w:pPr>
            <w:r>
              <w:t xml:space="preserve">2 </w:t>
            </w:r>
            <w:proofErr w:type="spellStart"/>
            <w:r>
              <w:t>hr</w:t>
            </w:r>
            <w:proofErr w:type="spellEnd"/>
            <w:r>
              <w:t xml:space="preserve"> session </w:t>
            </w:r>
          </w:p>
        </w:tc>
        <w:tc>
          <w:tcPr>
            <w:tcW w:w="2315" w:type="dxa"/>
            <w:shd w:val="clear" w:color="auto" w:fill="auto"/>
            <w:tcMar>
              <w:top w:w="100" w:type="dxa"/>
              <w:left w:w="100" w:type="dxa"/>
              <w:bottom w:w="100" w:type="dxa"/>
              <w:right w:w="100" w:type="dxa"/>
            </w:tcMar>
          </w:tcPr>
          <w:p w:rsidR="00E768A6" w:rsidRDefault="00E768A6" w:rsidP="00E768A6">
            <w:pPr>
              <w:widowControl w:val="0"/>
              <w:spacing w:line="240" w:lineRule="auto"/>
            </w:pPr>
            <w:r>
              <w:t xml:space="preserve">2 </w:t>
            </w:r>
            <w:proofErr w:type="spellStart"/>
            <w:r>
              <w:t>hr</w:t>
            </w:r>
            <w:proofErr w:type="spellEnd"/>
            <w:r>
              <w:t xml:space="preserve"> session </w:t>
            </w:r>
          </w:p>
        </w:tc>
        <w:tc>
          <w:tcPr>
            <w:tcW w:w="2315" w:type="dxa"/>
            <w:shd w:val="clear" w:color="auto" w:fill="auto"/>
            <w:tcMar>
              <w:top w:w="100" w:type="dxa"/>
              <w:left w:w="100" w:type="dxa"/>
              <w:bottom w:w="100" w:type="dxa"/>
              <w:right w:w="100" w:type="dxa"/>
            </w:tcMar>
          </w:tcPr>
          <w:p w:rsidR="00E768A6" w:rsidRDefault="00E768A6" w:rsidP="00E768A6">
            <w:pPr>
              <w:widowControl w:val="0"/>
              <w:spacing w:line="240" w:lineRule="auto"/>
            </w:pPr>
            <w:r>
              <w:t xml:space="preserve">2 </w:t>
            </w:r>
            <w:proofErr w:type="spellStart"/>
            <w:r>
              <w:t>hr</w:t>
            </w:r>
            <w:proofErr w:type="spellEnd"/>
            <w:r>
              <w:t xml:space="preserve"> session </w:t>
            </w:r>
          </w:p>
        </w:tc>
        <w:tc>
          <w:tcPr>
            <w:tcW w:w="2315" w:type="dxa"/>
          </w:tcPr>
          <w:p w:rsidR="00E768A6" w:rsidRDefault="00E768A6" w:rsidP="00E768A6">
            <w:pPr>
              <w:widowControl w:val="0"/>
              <w:pBdr>
                <w:top w:val="nil"/>
                <w:left w:val="nil"/>
                <w:bottom w:val="nil"/>
                <w:right w:val="nil"/>
                <w:between w:val="nil"/>
              </w:pBdr>
              <w:spacing w:line="240" w:lineRule="auto"/>
            </w:pPr>
            <w:r>
              <w:t>Final Grade: S/U</w:t>
            </w:r>
          </w:p>
        </w:tc>
      </w:tr>
      <w:tr w:rsidR="00E768A6" w:rsidTr="00E768A6">
        <w:tc>
          <w:tcPr>
            <w:tcW w:w="2315" w:type="dxa"/>
            <w:shd w:val="clear" w:color="auto" w:fill="auto"/>
            <w:tcMar>
              <w:top w:w="100" w:type="dxa"/>
              <w:left w:w="100" w:type="dxa"/>
              <w:bottom w:w="100" w:type="dxa"/>
              <w:right w:w="100" w:type="dxa"/>
            </w:tcMar>
          </w:tcPr>
          <w:p w:rsidR="00E768A6" w:rsidRDefault="00E768A6" w:rsidP="00E768A6">
            <w:pPr>
              <w:widowControl w:val="0"/>
              <w:pBdr>
                <w:top w:val="nil"/>
                <w:left w:val="nil"/>
                <w:bottom w:val="nil"/>
                <w:right w:val="nil"/>
                <w:between w:val="nil"/>
              </w:pBdr>
              <w:spacing w:line="240" w:lineRule="auto"/>
            </w:pPr>
          </w:p>
        </w:tc>
        <w:tc>
          <w:tcPr>
            <w:tcW w:w="2315" w:type="dxa"/>
            <w:shd w:val="clear" w:color="auto" w:fill="auto"/>
            <w:tcMar>
              <w:top w:w="100" w:type="dxa"/>
              <w:left w:w="100" w:type="dxa"/>
              <w:bottom w:w="100" w:type="dxa"/>
              <w:right w:w="100" w:type="dxa"/>
            </w:tcMar>
          </w:tcPr>
          <w:p w:rsidR="00E768A6" w:rsidRDefault="00E768A6" w:rsidP="00E768A6">
            <w:pPr>
              <w:widowControl w:val="0"/>
              <w:pBdr>
                <w:top w:val="nil"/>
                <w:left w:val="nil"/>
                <w:bottom w:val="nil"/>
                <w:right w:val="nil"/>
                <w:between w:val="nil"/>
              </w:pBdr>
              <w:spacing w:line="240" w:lineRule="auto"/>
            </w:pPr>
          </w:p>
        </w:tc>
        <w:tc>
          <w:tcPr>
            <w:tcW w:w="2315" w:type="dxa"/>
            <w:shd w:val="clear" w:color="auto" w:fill="auto"/>
            <w:tcMar>
              <w:top w:w="100" w:type="dxa"/>
              <w:left w:w="100" w:type="dxa"/>
              <w:bottom w:w="100" w:type="dxa"/>
              <w:right w:w="100" w:type="dxa"/>
            </w:tcMar>
          </w:tcPr>
          <w:p w:rsidR="00E768A6" w:rsidRDefault="00E768A6" w:rsidP="00E768A6">
            <w:pPr>
              <w:widowControl w:val="0"/>
              <w:pBdr>
                <w:top w:val="nil"/>
                <w:left w:val="nil"/>
                <w:bottom w:val="nil"/>
                <w:right w:val="nil"/>
                <w:between w:val="nil"/>
              </w:pBdr>
              <w:spacing w:line="240" w:lineRule="auto"/>
            </w:pPr>
          </w:p>
        </w:tc>
        <w:tc>
          <w:tcPr>
            <w:tcW w:w="2315" w:type="dxa"/>
          </w:tcPr>
          <w:p w:rsidR="00E768A6" w:rsidRDefault="00E768A6" w:rsidP="00E768A6">
            <w:pPr>
              <w:widowControl w:val="0"/>
              <w:pBdr>
                <w:top w:val="nil"/>
                <w:left w:val="nil"/>
                <w:bottom w:val="nil"/>
                <w:right w:val="nil"/>
                <w:between w:val="nil"/>
              </w:pBdr>
              <w:spacing w:line="240" w:lineRule="auto"/>
            </w:pPr>
            <w:r>
              <w:t>S= 70% or above</w:t>
            </w:r>
          </w:p>
        </w:tc>
      </w:tr>
      <w:tr w:rsidR="00E768A6" w:rsidTr="00E768A6">
        <w:tc>
          <w:tcPr>
            <w:tcW w:w="2315" w:type="dxa"/>
            <w:shd w:val="clear" w:color="auto" w:fill="auto"/>
            <w:tcMar>
              <w:top w:w="100" w:type="dxa"/>
              <w:left w:w="100" w:type="dxa"/>
              <w:bottom w:w="100" w:type="dxa"/>
              <w:right w:w="100" w:type="dxa"/>
            </w:tcMar>
          </w:tcPr>
          <w:p w:rsidR="00E768A6" w:rsidRDefault="00E768A6" w:rsidP="00E768A6">
            <w:pPr>
              <w:widowControl w:val="0"/>
              <w:pBdr>
                <w:top w:val="nil"/>
                <w:left w:val="nil"/>
                <w:bottom w:val="nil"/>
                <w:right w:val="nil"/>
                <w:between w:val="nil"/>
              </w:pBdr>
              <w:spacing w:line="240" w:lineRule="auto"/>
            </w:pPr>
          </w:p>
        </w:tc>
        <w:tc>
          <w:tcPr>
            <w:tcW w:w="2315" w:type="dxa"/>
            <w:shd w:val="clear" w:color="auto" w:fill="auto"/>
            <w:tcMar>
              <w:top w:w="100" w:type="dxa"/>
              <w:left w:w="100" w:type="dxa"/>
              <w:bottom w:w="100" w:type="dxa"/>
              <w:right w:w="100" w:type="dxa"/>
            </w:tcMar>
          </w:tcPr>
          <w:p w:rsidR="00E768A6" w:rsidRDefault="00E768A6" w:rsidP="00E768A6">
            <w:pPr>
              <w:widowControl w:val="0"/>
              <w:pBdr>
                <w:top w:val="nil"/>
                <w:left w:val="nil"/>
                <w:bottom w:val="nil"/>
                <w:right w:val="nil"/>
                <w:between w:val="nil"/>
              </w:pBdr>
              <w:spacing w:line="240" w:lineRule="auto"/>
            </w:pPr>
          </w:p>
        </w:tc>
        <w:tc>
          <w:tcPr>
            <w:tcW w:w="2315" w:type="dxa"/>
            <w:shd w:val="clear" w:color="auto" w:fill="auto"/>
            <w:tcMar>
              <w:top w:w="100" w:type="dxa"/>
              <w:left w:w="100" w:type="dxa"/>
              <w:bottom w:w="100" w:type="dxa"/>
              <w:right w:w="100" w:type="dxa"/>
            </w:tcMar>
          </w:tcPr>
          <w:p w:rsidR="00E768A6" w:rsidRDefault="00E768A6" w:rsidP="00E768A6">
            <w:pPr>
              <w:widowControl w:val="0"/>
              <w:pBdr>
                <w:top w:val="nil"/>
                <w:left w:val="nil"/>
                <w:bottom w:val="nil"/>
                <w:right w:val="nil"/>
                <w:between w:val="nil"/>
              </w:pBdr>
              <w:spacing w:line="240" w:lineRule="auto"/>
            </w:pPr>
          </w:p>
        </w:tc>
        <w:tc>
          <w:tcPr>
            <w:tcW w:w="2315" w:type="dxa"/>
          </w:tcPr>
          <w:p w:rsidR="00E768A6" w:rsidRDefault="00E768A6" w:rsidP="00E768A6">
            <w:pPr>
              <w:widowControl w:val="0"/>
              <w:spacing w:line="240" w:lineRule="auto"/>
            </w:pPr>
            <w:r>
              <w:t>U=&lt;70%</w:t>
            </w:r>
          </w:p>
        </w:tc>
      </w:tr>
    </w:tbl>
    <w:p w:rsidR="00BE3CD9" w:rsidRDefault="00BE3CD9"/>
    <w:p w:rsidR="00BE3CD9" w:rsidRDefault="00636245">
      <w:pPr>
        <w:pStyle w:val="Heading1"/>
      </w:pPr>
      <w:bookmarkStart w:id="4" w:name="_7on0xsvrzqlc" w:colFirst="0" w:colLast="0"/>
      <w:bookmarkEnd w:id="4"/>
      <w:r>
        <w:t>V. Course Material</w:t>
      </w:r>
    </w:p>
    <w:p w:rsidR="007A4CDD" w:rsidRPr="007A4CDD" w:rsidRDefault="007A4CDD" w:rsidP="007A4CDD">
      <w:pPr>
        <w:pStyle w:val="Heading2"/>
        <w:spacing w:before="0" w:after="0"/>
        <w:rPr>
          <w:sz w:val="22"/>
          <w:szCs w:val="22"/>
        </w:rPr>
      </w:pPr>
      <w:bookmarkStart w:id="5" w:name="_c8q0qkph2yve" w:colFirst="0" w:colLast="0"/>
      <w:bookmarkEnd w:id="5"/>
      <w:proofErr w:type="spellStart"/>
      <w:r w:rsidRPr="007A4CDD">
        <w:rPr>
          <w:sz w:val="22"/>
          <w:szCs w:val="22"/>
        </w:rPr>
        <w:t>Proffit</w:t>
      </w:r>
      <w:proofErr w:type="spellEnd"/>
      <w:r w:rsidRPr="007A4CDD">
        <w:rPr>
          <w:sz w:val="22"/>
          <w:szCs w:val="22"/>
        </w:rPr>
        <w:t xml:space="preserve">, W.R. Contemporary </w:t>
      </w:r>
      <w:proofErr w:type="gramStart"/>
      <w:r w:rsidRPr="007A4CDD">
        <w:rPr>
          <w:sz w:val="22"/>
          <w:szCs w:val="22"/>
        </w:rPr>
        <w:t>Orthodontics .</w:t>
      </w:r>
      <w:proofErr w:type="gramEnd"/>
      <w:r w:rsidRPr="007A4CDD">
        <w:rPr>
          <w:sz w:val="22"/>
          <w:szCs w:val="22"/>
        </w:rPr>
        <w:t xml:space="preserve"> 5th ed. C. V. Mosby. </w:t>
      </w:r>
    </w:p>
    <w:p w:rsidR="007A4CDD" w:rsidRPr="007A4CDD" w:rsidRDefault="007A4CDD" w:rsidP="007A4CDD">
      <w:pPr>
        <w:pStyle w:val="Heading2"/>
        <w:spacing w:before="0" w:after="0"/>
        <w:rPr>
          <w:sz w:val="22"/>
          <w:szCs w:val="22"/>
        </w:rPr>
      </w:pPr>
      <w:r w:rsidRPr="007A4CDD">
        <w:rPr>
          <w:sz w:val="22"/>
          <w:szCs w:val="22"/>
        </w:rPr>
        <w:t>(Ackerman-Proffitt Analysis</w:t>
      </w:r>
      <w:r w:rsidR="00432D37">
        <w:rPr>
          <w:sz w:val="22"/>
          <w:szCs w:val="22"/>
        </w:rPr>
        <w:t xml:space="preserve"> and </w:t>
      </w:r>
      <w:r w:rsidRPr="007A4CDD">
        <w:rPr>
          <w:sz w:val="22"/>
          <w:szCs w:val="22"/>
        </w:rPr>
        <w:t>space analysis and tooth size analysis.)</w:t>
      </w:r>
    </w:p>
    <w:p w:rsidR="00BE3CD9" w:rsidRDefault="00636245" w:rsidP="007A4CDD">
      <w:pPr>
        <w:pStyle w:val="Heading2"/>
      </w:pPr>
      <w:r>
        <w:t>Optional resource:</w:t>
      </w:r>
    </w:p>
    <w:bookmarkStart w:id="6" w:name="_Hlk74041188"/>
    <w:p w:rsidR="00BE3CD9" w:rsidRDefault="006F6726">
      <w:r>
        <w:fldChar w:fldCharType="begin"/>
      </w:r>
      <w:r>
        <w:instrText xml:space="preserve"> HYPERLINK "https://guides.uflib.ufl.edu/dental" </w:instrText>
      </w:r>
      <w:r>
        <w:fldChar w:fldCharType="separate"/>
      </w:r>
      <w:r w:rsidR="00636245" w:rsidRPr="006F6726">
        <w:rPr>
          <w:rStyle w:val="Hyperlink"/>
        </w:rPr>
        <w:t>HSC Dental Library Guide</w:t>
      </w:r>
      <w:r>
        <w:fldChar w:fldCharType="end"/>
      </w:r>
      <w:r>
        <w:t xml:space="preserve"> </w:t>
      </w:r>
    </w:p>
    <w:p w:rsidR="000621B0" w:rsidRDefault="000621B0"/>
    <w:p w:rsidR="00BE3CD9" w:rsidRDefault="00636245">
      <w:pPr>
        <w:pStyle w:val="Heading1"/>
      </w:pPr>
      <w:bookmarkStart w:id="7" w:name="_apk9f5hmq5b8" w:colFirst="0" w:colLast="0"/>
      <w:bookmarkEnd w:id="6"/>
      <w:bookmarkEnd w:id="7"/>
      <w:r>
        <w:t>VI. Course Objectives</w:t>
      </w:r>
    </w:p>
    <w:p w:rsidR="00BE3CD9" w:rsidRDefault="00636245">
      <w:r>
        <w:t>Students will:</w:t>
      </w:r>
    </w:p>
    <w:p w:rsidR="00BE3CD9" w:rsidRDefault="00636245" w:rsidP="009813B0">
      <w:pPr>
        <w:pStyle w:val="ListParagraph"/>
        <w:numPr>
          <w:ilvl w:val="0"/>
          <w:numId w:val="4"/>
        </w:numPr>
        <w:jc w:val="both"/>
      </w:pPr>
      <w:r>
        <w:t xml:space="preserve">Prepare, attend and participate in three clinical orthodontic </w:t>
      </w:r>
      <w:r w:rsidR="00432D37">
        <w:t>seminars</w:t>
      </w:r>
    </w:p>
    <w:p w:rsidR="00BE3CD9" w:rsidRDefault="00432D37" w:rsidP="009813B0">
      <w:pPr>
        <w:pStyle w:val="ListParagraph"/>
        <w:numPr>
          <w:ilvl w:val="0"/>
          <w:numId w:val="4"/>
        </w:numPr>
        <w:jc w:val="both"/>
      </w:pPr>
      <w:r>
        <w:t>Learn to e</w:t>
      </w:r>
      <w:r w:rsidR="00636245">
        <w:t>valuate orthodontic records.</w:t>
      </w:r>
    </w:p>
    <w:p w:rsidR="00BE3CD9" w:rsidRDefault="00636245" w:rsidP="009813B0">
      <w:pPr>
        <w:pStyle w:val="ListParagraph"/>
        <w:numPr>
          <w:ilvl w:val="0"/>
          <w:numId w:val="4"/>
        </w:numPr>
        <w:jc w:val="both"/>
      </w:pPr>
      <w:r>
        <w:lastRenderedPageBreak/>
        <w:t>Properly diagnosis and sequence limited orthodontic treatment plans relative to the general dentist</w:t>
      </w:r>
      <w:r w:rsidR="00432D37">
        <w:t>ry practice</w:t>
      </w:r>
      <w:r>
        <w:t>.</w:t>
      </w:r>
    </w:p>
    <w:p w:rsidR="00BE3CD9" w:rsidRDefault="00636245" w:rsidP="009813B0">
      <w:pPr>
        <w:pStyle w:val="ListParagraph"/>
        <w:numPr>
          <w:ilvl w:val="0"/>
          <w:numId w:val="4"/>
        </w:numPr>
        <w:jc w:val="both"/>
      </w:pPr>
      <w:r>
        <w:t>Develop the ability to communicate orthodontic concerns to patients and to dental colleagues.</w:t>
      </w:r>
    </w:p>
    <w:p w:rsidR="00BE3CD9" w:rsidRDefault="00636245" w:rsidP="009813B0">
      <w:pPr>
        <w:pStyle w:val="ListParagraph"/>
        <w:numPr>
          <w:ilvl w:val="0"/>
          <w:numId w:val="4"/>
        </w:numPr>
        <w:jc w:val="both"/>
      </w:pPr>
      <w:r>
        <w:t>Critically assess orthodontic malocclusions and identify indications as to when to treat and when to refer to an orthodontic specialist.</w:t>
      </w:r>
    </w:p>
    <w:p w:rsidR="006E6961" w:rsidRDefault="006E6961" w:rsidP="009813B0">
      <w:pPr>
        <w:pStyle w:val="ListParagraph"/>
        <w:numPr>
          <w:ilvl w:val="0"/>
          <w:numId w:val="4"/>
        </w:numPr>
        <w:jc w:val="both"/>
      </w:pPr>
      <w:r w:rsidRPr="006E6961">
        <w:t>Successfully complete orthodontic case competency assessment questions.</w:t>
      </w:r>
    </w:p>
    <w:p w:rsidR="00BE3CD9" w:rsidRDefault="00636245">
      <w:pPr>
        <w:pStyle w:val="Heading1"/>
      </w:pPr>
      <w:bookmarkStart w:id="8" w:name="_he377bb2gbxy" w:colFirst="0" w:colLast="0"/>
      <w:bookmarkEnd w:id="8"/>
      <w:r>
        <w:t>VII. Course Competencies</w:t>
      </w:r>
    </w:p>
    <w:p w:rsidR="00BE3CD9" w:rsidRDefault="00636245">
      <w:r>
        <w:t>This course teaches to the following competencies in the "Competencies for the New Dental Graduate".</w:t>
      </w:r>
    </w:p>
    <w:p w:rsidR="00BE3CD9" w:rsidRDefault="00636245" w:rsidP="009813B0">
      <w:pPr>
        <w:pStyle w:val="ListParagraph"/>
        <w:numPr>
          <w:ilvl w:val="0"/>
          <w:numId w:val="2"/>
        </w:numPr>
        <w:jc w:val="both"/>
      </w:pPr>
      <w:r w:rsidRPr="00B43455">
        <w:rPr>
          <w:b/>
        </w:rPr>
        <w:t>Critical Thinking:</w:t>
      </w:r>
      <w:r>
        <w:t xml:space="preserve"> Use critical thinking and problem-solving, including their use in the comprehensive care of patients, scientific inquiry</w:t>
      </w:r>
      <w:r w:rsidR="00B43455">
        <w:t xml:space="preserve"> </w:t>
      </w:r>
      <w:r>
        <w:t>and research methodology.</w:t>
      </w:r>
    </w:p>
    <w:p w:rsidR="00BE3CD9" w:rsidRDefault="00636245" w:rsidP="009813B0">
      <w:pPr>
        <w:pStyle w:val="ListParagraph"/>
        <w:numPr>
          <w:ilvl w:val="0"/>
          <w:numId w:val="2"/>
        </w:numPr>
        <w:jc w:val="both"/>
      </w:pPr>
      <w:r w:rsidRPr="00B43455">
        <w:rPr>
          <w:b/>
        </w:rPr>
        <w:t>Evidence-Based Patient Care:</w:t>
      </w:r>
      <w:r>
        <w:t xml:space="preserve"> Access, critically appraise, apply and communicate scientific and lay literature as it relates to providing</w:t>
      </w:r>
      <w:r w:rsidR="00B43455">
        <w:t xml:space="preserve"> </w:t>
      </w:r>
      <w:r>
        <w:t>evidence-based patient care.</w:t>
      </w:r>
    </w:p>
    <w:p w:rsidR="00BE3CD9" w:rsidRDefault="00636245" w:rsidP="009813B0">
      <w:pPr>
        <w:pStyle w:val="ListParagraph"/>
        <w:numPr>
          <w:ilvl w:val="0"/>
          <w:numId w:val="2"/>
        </w:numPr>
        <w:jc w:val="both"/>
      </w:pPr>
      <w:r w:rsidRPr="00B43455">
        <w:rPr>
          <w:b/>
        </w:rPr>
        <w:t>Apply biomedical science knowledge</w:t>
      </w:r>
      <w:r>
        <w:t xml:space="preserve"> in the delivery of patient care.</w:t>
      </w:r>
    </w:p>
    <w:p w:rsidR="00BE3CD9" w:rsidRDefault="00636245" w:rsidP="009813B0">
      <w:pPr>
        <w:pStyle w:val="ListParagraph"/>
        <w:numPr>
          <w:ilvl w:val="0"/>
          <w:numId w:val="2"/>
        </w:numPr>
        <w:jc w:val="both"/>
      </w:pPr>
      <w:r w:rsidRPr="00B43455">
        <w:rPr>
          <w:b/>
        </w:rPr>
        <w:t xml:space="preserve">Ethical Standards: </w:t>
      </w:r>
      <w:r>
        <w:t>Apply principles of ethical decision making and professional responsibility.</w:t>
      </w:r>
    </w:p>
    <w:p w:rsidR="00BE3CD9" w:rsidRDefault="00636245" w:rsidP="009813B0">
      <w:pPr>
        <w:pStyle w:val="ListParagraph"/>
        <w:numPr>
          <w:ilvl w:val="0"/>
          <w:numId w:val="2"/>
        </w:numPr>
        <w:jc w:val="both"/>
      </w:pPr>
      <w:r w:rsidRPr="00B43455">
        <w:rPr>
          <w:b/>
        </w:rPr>
        <w:t>Appropriate Referral</w:t>
      </w:r>
      <w:r w:rsidR="00B43455" w:rsidRPr="00B43455">
        <w:rPr>
          <w:b/>
        </w:rPr>
        <w:t>:</w:t>
      </w:r>
      <w:r>
        <w:t xml:space="preserve"> Provide oral health care within the scope of general dentistry to include recognizing the complexity of patient</w:t>
      </w:r>
      <w:r w:rsidR="00B43455">
        <w:t xml:space="preserve"> </w:t>
      </w:r>
      <w:r>
        <w:t>treatment and identifying when referral is indicated.</w:t>
      </w:r>
    </w:p>
    <w:p w:rsidR="00BE3CD9" w:rsidRDefault="00636245" w:rsidP="009813B0">
      <w:pPr>
        <w:pStyle w:val="ListParagraph"/>
        <w:numPr>
          <w:ilvl w:val="0"/>
          <w:numId w:val="2"/>
        </w:numPr>
        <w:jc w:val="both"/>
      </w:pPr>
      <w:r w:rsidRPr="00B43455">
        <w:rPr>
          <w:b/>
        </w:rPr>
        <w:t>Communication Skills:</w:t>
      </w:r>
      <w:r>
        <w:t xml:space="preserve"> Apply the fundamental principles of behavioral sciences using patient-centered approaches for promoting,</w:t>
      </w:r>
      <w:r w:rsidR="00B43455">
        <w:t xml:space="preserve"> </w:t>
      </w:r>
      <w:r>
        <w:t>improving and maintaining oral health.</w:t>
      </w:r>
    </w:p>
    <w:p w:rsidR="00BE3CD9" w:rsidRDefault="00636245" w:rsidP="009813B0">
      <w:pPr>
        <w:pStyle w:val="ListParagraph"/>
        <w:numPr>
          <w:ilvl w:val="0"/>
          <w:numId w:val="2"/>
        </w:numPr>
        <w:jc w:val="both"/>
      </w:pPr>
      <w:r w:rsidRPr="00B43455">
        <w:rPr>
          <w:b/>
        </w:rPr>
        <w:t>Patient Assessment, Diagnosis, Treatment Planning and Informed Consent:</w:t>
      </w:r>
      <w:r>
        <w:t xml:space="preserve"> Provide oral health care within the scope of general</w:t>
      </w:r>
      <w:r w:rsidR="00B43455">
        <w:t xml:space="preserve"> </w:t>
      </w:r>
      <w:r>
        <w:t>dentistry to include patient assessment, diagnosis, comprehensive treatment planning, prognosis, and informed consent.</w:t>
      </w:r>
    </w:p>
    <w:p w:rsidR="00B43455" w:rsidRDefault="00636245" w:rsidP="009813B0">
      <w:pPr>
        <w:pStyle w:val="ListParagraph"/>
        <w:numPr>
          <w:ilvl w:val="0"/>
          <w:numId w:val="2"/>
        </w:numPr>
        <w:jc w:val="both"/>
      </w:pPr>
      <w:r w:rsidRPr="00B43455">
        <w:rPr>
          <w:b/>
        </w:rPr>
        <w:t>Provide oral health care</w:t>
      </w:r>
      <w:r>
        <w:t xml:space="preserve"> within the scope of general dentistry to include malocclusion and space management.</w:t>
      </w:r>
      <w:r w:rsidR="00B43455">
        <w:t xml:space="preserve"> </w:t>
      </w:r>
    </w:p>
    <w:p w:rsidR="00BE3CD9" w:rsidRDefault="00BE3CD9" w:rsidP="00B43455"/>
    <w:p w:rsidR="00BE3CD9" w:rsidRDefault="00636245">
      <w:pPr>
        <w:pStyle w:val="Heading1"/>
      </w:pPr>
      <w:bookmarkStart w:id="9" w:name="_pi6y9plz6g5u" w:colFirst="0" w:colLast="0"/>
      <w:bookmarkEnd w:id="9"/>
      <w:r>
        <w:t>VIII. Evaluation</w:t>
      </w:r>
    </w:p>
    <w:p w:rsidR="00BE3CD9" w:rsidRDefault="00636245">
      <w:pPr>
        <w:pStyle w:val="Heading2"/>
      </w:pPr>
      <w:bookmarkStart w:id="10" w:name="_i8hn471monft" w:colFirst="0" w:colLast="0"/>
      <w:bookmarkEnd w:id="10"/>
      <w:r>
        <w:t>Criteria for Clinical Conferences</w:t>
      </w:r>
    </w:p>
    <w:p w:rsidR="00BE3CD9" w:rsidRDefault="00636245">
      <w:pPr>
        <w:pStyle w:val="Heading3"/>
      </w:pPr>
      <w:bookmarkStart w:id="11" w:name="_7v3qravxb657" w:colFirst="0" w:colLast="0"/>
      <w:bookmarkEnd w:id="11"/>
      <w:r>
        <w:t>FORMAT FOR SEMINARS</w:t>
      </w:r>
    </w:p>
    <w:p w:rsidR="00BE3CD9" w:rsidRDefault="00636245">
      <w:r>
        <w:t xml:space="preserve">1) Review of </w:t>
      </w:r>
      <w:r w:rsidR="00432D37">
        <w:t xml:space="preserve">orthodontic </w:t>
      </w:r>
      <w:r>
        <w:t>cases</w:t>
      </w:r>
    </w:p>
    <w:p w:rsidR="00BE3CD9" w:rsidRDefault="00636245">
      <w:r>
        <w:t>2) Analyze the records of the following:</w:t>
      </w:r>
    </w:p>
    <w:p w:rsidR="00BE3CD9" w:rsidRDefault="00636245">
      <w:pPr>
        <w:ind w:left="720"/>
      </w:pPr>
      <w:r>
        <w:t>a. Medical, social, and dental history</w:t>
      </w:r>
    </w:p>
    <w:p w:rsidR="00BE3CD9" w:rsidRDefault="00636245">
      <w:pPr>
        <w:ind w:left="720"/>
      </w:pPr>
      <w:r>
        <w:t>b. Developmental status</w:t>
      </w:r>
    </w:p>
    <w:p w:rsidR="00BE3CD9" w:rsidRDefault="00636245">
      <w:pPr>
        <w:ind w:left="720"/>
      </w:pPr>
      <w:r>
        <w:t>c. Profile assessment</w:t>
      </w:r>
    </w:p>
    <w:p w:rsidR="00BE3CD9" w:rsidRDefault="00636245">
      <w:pPr>
        <w:ind w:left="720"/>
      </w:pPr>
      <w:r>
        <w:t>d. Space analysis</w:t>
      </w:r>
    </w:p>
    <w:p w:rsidR="00BE3CD9" w:rsidRDefault="00636245">
      <w:pPr>
        <w:ind w:left="720"/>
      </w:pPr>
      <w:r>
        <w:t>e. Bolton analysis</w:t>
      </w:r>
    </w:p>
    <w:p w:rsidR="00BE3CD9" w:rsidRDefault="00636245">
      <w:pPr>
        <w:ind w:left="720"/>
      </w:pPr>
      <w:r>
        <w:lastRenderedPageBreak/>
        <w:t>f. Functional analysis</w:t>
      </w:r>
    </w:p>
    <w:p w:rsidR="00BE3CD9" w:rsidRDefault="00636245">
      <w:pPr>
        <w:ind w:left="720"/>
      </w:pPr>
      <w:r>
        <w:t>g. Dental cast analysis:</w:t>
      </w:r>
    </w:p>
    <w:p w:rsidR="00BE3CD9" w:rsidRDefault="00636245">
      <w:pPr>
        <w:ind w:left="1440"/>
      </w:pPr>
      <w:r>
        <w:t>(1) Vertical</w:t>
      </w:r>
    </w:p>
    <w:p w:rsidR="00BE3CD9" w:rsidRDefault="00636245">
      <w:pPr>
        <w:ind w:left="1440"/>
      </w:pPr>
      <w:r>
        <w:t>(2) Transverse</w:t>
      </w:r>
    </w:p>
    <w:p w:rsidR="00BE3CD9" w:rsidRDefault="00636245">
      <w:pPr>
        <w:ind w:left="1440"/>
      </w:pPr>
      <w:r>
        <w:t>(3) A-P</w:t>
      </w:r>
    </w:p>
    <w:p w:rsidR="00BE3CD9" w:rsidRDefault="00636245">
      <w:pPr>
        <w:ind w:left="1440"/>
      </w:pPr>
      <w:r>
        <w:t>(4) Alignment</w:t>
      </w:r>
    </w:p>
    <w:p w:rsidR="00BE3CD9" w:rsidRDefault="00636245">
      <w:pPr>
        <w:ind w:left="720"/>
      </w:pPr>
      <w:r>
        <w:t>h. Radiographic analysis</w:t>
      </w:r>
    </w:p>
    <w:p w:rsidR="00BE3CD9" w:rsidRDefault="00636245">
      <w:r>
        <w:t>3) Considering the orthodontic status of the patient, decide if he or she should:</w:t>
      </w:r>
    </w:p>
    <w:p w:rsidR="00BE3CD9" w:rsidRDefault="00636245">
      <w:pPr>
        <w:ind w:left="720"/>
      </w:pPr>
      <w:r>
        <w:t>a. Receive no orthodontic treatment</w:t>
      </w:r>
    </w:p>
    <w:p w:rsidR="00BE3CD9" w:rsidRDefault="00636245">
      <w:pPr>
        <w:ind w:left="720"/>
      </w:pPr>
      <w:r>
        <w:t>b. Be observed (be prepared to discuss what and for how long you will be observing)</w:t>
      </w:r>
    </w:p>
    <w:p w:rsidR="00BE3CD9" w:rsidRDefault="00636245">
      <w:pPr>
        <w:ind w:left="720"/>
      </w:pPr>
      <w:r>
        <w:t>c. Receive orthodontic treatment by a (1) General practitioner or a (2) Specialist.</w:t>
      </w:r>
    </w:p>
    <w:p w:rsidR="00BE3CD9" w:rsidRDefault="00636245">
      <w:pPr>
        <w:pStyle w:val="Heading2"/>
      </w:pPr>
      <w:bookmarkStart w:id="12" w:name="_o9neh4gejprr" w:colFirst="0" w:colLast="0"/>
      <w:bookmarkEnd w:id="12"/>
      <w:r>
        <w:t>Grading Criteria</w:t>
      </w:r>
    </w:p>
    <w:p w:rsidR="00BE3CD9" w:rsidRDefault="00636245" w:rsidP="009813B0">
      <w:pPr>
        <w:jc w:val="both"/>
      </w:pPr>
      <w:r>
        <w:t>Student-dentists will be evaluated at each conference by the attending orthodontic faculty. The grade will be based on student preparedness, attitude, general knowledge of orthodontic diagnosis, the correctness of the decisions regarding cases presented, interpretation of findings, general participation in discussions, and the competency evaluations. Unexcused absences of assigned students will receive a grade of U (Unsatisfactory) for the conference. Unexcused absences cannot be made up. Excuses can be obtained from the attending orthodontic faculty member or from the Dean's Office only. These must be obtained at least 24 hours prior to the conference.</w:t>
      </w:r>
    </w:p>
    <w:p w:rsidR="00BE3CD9" w:rsidRDefault="00636245">
      <w:pPr>
        <w:pStyle w:val="Heading2"/>
      </w:pPr>
      <w:bookmarkStart w:id="13" w:name="_8x0i6nk293iy" w:colFirst="0" w:colLast="0"/>
      <w:bookmarkEnd w:id="13"/>
      <w:r>
        <w:t>Grade Assessment:</w:t>
      </w:r>
    </w:p>
    <w:p w:rsidR="00BE3CD9" w:rsidRDefault="00636245">
      <w:r>
        <w:t>At the conclusion of the clinical rotation, the students must pass a written examination with a score of 70% or greater to pass the course with a grade of "S".</w:t>
      </w:r>
    </w:p>
    <w:p w:rsidR="00BE3CD9" w:rsidRDefault="00636245">
      <w:pPr>
        <w:pStyle w:val="Heading3"/>
      </w:pPr>
      <w:bookmarkStart w:id="14" w:name="_wsakw4oqfz73" w:colFirst="0" w:colLast="0"/>
      <w:bookmarkEnd w:id="14"/>
      <w:r>
        <w:t>COMPETENCY REMEDIATION</w:t>
      </w:r>
    </w:p>
    <w:p w:rsidR="00BE3CD9" w:rsidRDefault="00636245" w:rsidP="009813B0">
      <w:pPr>
        <w:jc w:val="both"/>
      </w:pPr>
      <w:r>
        <w:t>Students receiving a failing grade (U) for a competency exam will be remediated by one of the faculty. The remediation activities will be at the discretion of the Course Director. The activities will include review of related seminars, review of competency exam, reading appropriate sections of Proffitt textbook, and retaking the competency assessment. The remediated competency grade will be a Remediated S grade (RS).</w:t>
      </w:r>
    </w:p>
    <w:p w:rsidR="00BE3CD9" w:rsidRDefault="00BE3CD9"/>
    <w:p w:rsidR="00BE3CD9" w:rsidRDefault="00636245">
      <w:pPr>
        <w:pStyle w:val="Heading3"/>
      </w:pPr>
      <w:bookmarkStart w:id="15" w:name="_47psujo4qnz" w:colFirst="0" w:colLast="0"/>
      <w:bookmarkEnd w:id="15"/>
      <w:r>
        <w:t>COURSE GRADING RUBRIC</w:t>
      </w:r>
    </w:p>
    <w:p w:rsidR="00BE3CD9" w:rsidRDefault="00BE3CD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610"/>
        <w:gridCol w:w="3790"/>
      </w:tblGrid>
      <w:tr w:rsidR="00BE3CD9">
        <w:trPr>
          <w:trHeight w:val="420"/>
        </w:trPr>
        <w:tc>
          <w:tcPr>
            <w:tcW w:w="9360" w:type="dxa"/>
            <w:gridSpan w:val="3"/>
            <w:shd w:val="clear" w:color="auto" w:fill="auto"/>
            <w:tcMar>
              <w:top w:w="100" w:type="dxa"/>
              <w:left w:w="100" w:type="dxa"/>
              <w:bottom w:w="100" w:type="dxa"/>
              <w:right w:w="100" w:type="dxa"/>
            </w:tcMar>
          </w:tcPr>
          <w:p w:rsidR="00BE3CD9" w:rsidRDefault="00636245">
            <w:pPr>
              <w:widowControl w:val="0"/>
              <w:pBdr>
                <w:top w:val="nil"/>
                <w:left w:val="nil"/>
                <w:bottom w:val="nil"/>
                <w:right w:val="nil"/>
                <w:between w:val="nil"/>
              </w:pBdr>
              <w:spacing w:line="240" w:lineRule="auto"/>
              <w:jc w:val="center"/>
              <w:rPr>
                <w:b/>
              </w:rPr>
            </w:pPr>
            <w:r>
              <w:rPr>
                <w:b/>
              </w:rPr>
              <w:t>DEN7819L</w:t>
            </w:r>
          </w:p>
        </w:tc>
      </w:tr>
      <w:tr w:rsidR="00BE3CD9" w:rsidTr="00432D37">
        <w:tc>
          <w:tcPr>
            <w:tcW w:w="2960" w:type="dxa"/>
            <w:shd w:val="clear" w:color="auto" w:fill="auto"/>
            <w:tcMar>
              <w:top w:w="100" w:type="dxa"/>
              <w:left w:w="100" w:type="dxa"/>
              <w:bottom w:w="100" w:type="dxa"/>
              <w:right w:w="100" w:type="dxa"/>
            </w:tcMar>
          </w:tcPr>
          <w:p w:rsidR="00BE3CD9" w:rsidRDefault="00BE3CD9">
            <w:pPr>
              <w:widowControl w:val="0"/>
              <w:pBdr>
                <w:top w:val="nil"/>
                <w:left w:val="nil"/>
                <w:bottom w:val="nil"/>
                <w:right w:val="nil"/>
                <w:between w:val="nil"/>
              </w:pBdr>
              <w:spacing w:line="240" w:lineRule="auto"/>
            </w:pPr>
          </w:p>
        </w:tc>
        <w:tc>
          <w:tcPr>
            <w:tcW w:w="2610" w:type="dxa"/>
            <w:shd w:val="clear" w:color="auto" w:fill="auto"/>
            <w:tcMar>
              <w:top w:w="100" w:type="dxa"/>
              <w:left w:w="100" w:type="dxa"/>
              <w:bottom w:w="100" w:type="dxa"/>
              <w:right w:w="100" w:type="dxa"/>
            </w:tcMar>
          </w:tcPr>
          <w:p w:rsidR="00BE3CD9" w:rsidRDefault="00636245">
            <w:pPr>
              <w:jc w:val="center"/>
              <w:rPr>
                <w:b/>
              </w:rPr>
            </w:pPr>
            <w:r>
              <w:rPr>
                <w:b/>
              </w:rPr>
              <w:t xml:space="preserve">S Grade </w:t>
            </w:r>
          </w:p>
        </w:tc>
        <w:tc>
          <w:tcPr>
            <w:tcW w:w="3790" w:type="dxa"/>
            <w:shd w:val="clear" w:color="auto" w:fill="auto"/>
            <w:tcMar>
              <w:top w:w="100" w:type="dxa"/>
              <w:left w:w="100" w:type="dxa"/>
              <w:bottom w:w="100" w:type="dxa"/>
              <w:right w:w="100" w:type="dxa"/>
            </w:tcMar>
          </w:tcPr>
          <w:p w:rsidR="00BE3CD9" w:rsidRDefault="00636245">
            <w:pPr>
              <w:jc w:val="center"/>
              <w:rPr>
                <w:b/>
              </w:rPr>
            </w:pPr>
            <w:r>
              <w:rPr>
                <w:b/>
              </w:rPr>
              <w:t>U Grade</w:t>
            </w:r>
          </w:p>
        </w:tc>
      </w:tr>
      <w:tr w:rsidR="00BE3CD9" w:rsidTr="00432D37">
        <w:trPr>
          <w:trHeight w:val="420"/>
        </w:trPr>
        <w:tc>
          <w:tcPr>
            <w:tcW w:w="2960" w:type="dxa"/>
            <w:vMerge w:val="restart"/>
            <w:shd w:val="clear" w:color="auto" w:fill="auto"/>
            <w:tcMar>
              <w:top w:w="100" w:type="dxa"/>
              <w:left w:w="100" w:type="dxa"/>
              <w:bottom w:w="100" w:type="dxa"/>
              <w:right w:w="100" w:type="dxa"/>
            </w:tcMar>
          </w:tcPr>
          <w:p w:rsidR="00BE3CD9" w:rsidRDefault="00636245">
            <w:pPr>
              <w:rPr>
                <w:b/>
              </w:rPr>
            </w:pPr>
            <w:r>
              <w:rPr>
                <w:b/>
              </w:rPr>
              <w:t xml:space="preserve">Conference </w:t>
            </w:r>
          </w:p>
        </w:tc>
        <w:tc>
          <w:tcPr>
            <w:tcW w:w="2610" w:type="dxa"/>
            <w:shd w:val="clear" w:color="auto" w:fill="auto"/>
            <w:tcMar>
              <w:top w:w="100" w:type="dxa"/>
              <w:left w:w="100" w:type="dxa"/>
              <w:bottom w:w="100" w:type="dxa"/>
              <w:right w:w="100" w:type="dxa"/>
            </w:tcMar>
          </w:tcPr>
          <w:p w:rsidR="00BE3CD9" w:rsidRDefault="00636245">
            <w:r>
              <w:t xml:space="preserve">Attends </w:t>
            </w:r>
            <w:r w:rsidR="00073D24">
              <w:t>3 seminars</w:t>
            </w:r>
            <w:r>
              <w:t xml:space="preserve">. </w:t>
            </w:r>
          </w:p>
        </w:tc>
        <w:tc>
          <w:tcPr>
            <w:tcW w:w="3790" w:type="dxa"/>
            <w:shd w:val="clear" w:color="auto" w:fill="auto"/>
            <w:tcMar>
              <w:top w:w="100" w:type="dxa"/>
              <w:left w:w="100" w:type="dxa"/>
              <w:bottom w:w="100" w:type="dxa"/>
              <w:right w:w="100" w:type="dxa"/>
            </w:tcMar>
          </w:tcPr>
          <w:p w:rsidR="00BE3CD9" w:rsidRDefault="00636245">
            <w:r>
              <w:t xml:space="preserve">DOES NOT attend ALL </w:t>
            </w:r>
            <w:r w:rsidR="00073D24">
              <w:t>3</w:t>
            </w:r>
            <w:r>
              <w:t xml:space="preserve"> </w:t>
            </w:r>
            <w:r w:rsidR="00073D24">
              <w:t>seminars</w:t>
            </w:r>
          </w:p>
        </w:tc>
      </w:tr>
      <w:tr w:rsidR="00BE3CD9" w:rsidTr="00432D37">
        <w:trPr>
          <w:trHeight w:val="420"/>
        </w:trPr>
        <w:tc>
          <w:tcPr>
            <w:tcW w:w="2960" w:type="dxa"/>
            <w:vMerge/>
            <w:shd w:val="clear" w:color="auto" w:fill="auto"/>
            <w:tcMar>
              <w:top w:w="100" w:type="dxa"/>
              <w:left w:w="100" w:type="dxa"/>
              <w:bottom w:w="100" w:type="dxa"/>
              <w:right w:w="100" w:type="dxa"/>
            </w:tcMar>
          </w:tcPr>
          <w:p w:rsidR="00BE3CD9" w:rsidRDefault="00BE3CD9">
            <w:pPr>
              <w:widowControl w:val="0"/>
              <w:pBdr>
                <w:top w:val="nil"/>
                <w:left w:val="nil"/>
                <w:bottom w:val="nil"/>
                <w:right w:val="nil"/>
                <w:between w:val="nil"/>
              </w:pBdr>
              <w:spacing w:line="240" w:lineRule="auto"/>
            </w:pPr>
          </w:p>
        </w:tc>
        <w:tc>
          <w:tcPr>
            <w:tcW w:w="2610" w:type="dxa"/>
            <w:shd w:val="clear" w:color="auto" w:fill="auto"/>
            <w:tcMar>
              <w:top w:w="100" w:type="dxa"/>
              <w:left w:w="100" w:type="dxa"/>
              <w:bottom w:w="100" w:type="dxa"/>
              <w:right w:w="100" w:type="dxa"/>
            </w:tcMar>
          </w:tcPr>
          <w:p w:rsidR="00BE3CD9" w:rsidRDefault="00636245">
            <w:r>
              <w:t xml:space="preserve">Active participation </w:t>
            </w:r>
          </w:p>
        </w:tc>
        <w:tc>
          <w:tcPr>
            <w:tcW w:w="3790" w:type="dxa"/>
            <w:shd w:val="clear" w:color="auto" w:fill="auto"/>
            <w:tcMar>
              <w:top w:w="100" w:type="dxa"/>
              <w:left w:w="100" w:type="dxa"/>
              <w:bottom w:w="100" w:type="dxa"/>
              <w:right w:w="100" w:type="dxa"/>
            </w:tcMar>
          </w:tcPr>
          <w:p w:rsidR="00BE3CD9" w:rsidRDefault="00636245">
            <w:r>
              <w:t>DID NOT actively participate</w:t>
            </w:r>
          </w:p>
        </w:tc>
      </w:tr>
      <w:tr w:rsidR="00BE3CD9" w:rsidTr="00432D37">
        <w:tc>
          <w:tcPr>
            <w:tcW w:w="2960" w:type="dxa"/>
            <w:shd w:val="clear" w:color="auto" w:fill="auto"/>
            <w:tcMar>
              <w:top w:w="100" w:type="dxa"/>
              <w:left w:w="100" w:type="dxa"/>
              <w:bottom w:w="100" w:type="dxa"/>
              <w:right w:w="100" w:type="dxa"/>
            </w:tcMar>
          </w:tcPr>
          <w:p w:rsidR="00BE3CD9" w:rsidRPr="00432D37" w:rsidRDefault="00636245">
            <w:pPr>
              <w:rPr>
                <w:b/>
              </w:rPr>
            </w:pPr>
            <w:r w:rsidRPr="00432D37">
              <w:rPr>
                <w:b/>
              </w:rPr>
              <w:t xml:space="preserve">Competency Assessment </w:t>
            </w:r>
          </w:p>
        </w:tc>
        <w:tc>
          <w:tcPr>
            <w:tcW w:w="2610" w:type="dxa"/>
            <w:shd w:val="clear" w:color="auto" w:fill="auto"/>
            <w:tcMar>
              <w:top w:w="100" w:type="dxa"/>
              <w:left w:w="100" w:type="dxa"/>
              <w:bottom w:w="100" w:type="dxa"/>
              <w:right w:w="100" w:type="dxa"/>
            </w:tcMar>
          </w:tcPr>
          <w:p w:rsidR="00BE3CD9" w:rsidRDefault="00636245">
            <w:r>
              <w:t>Score of 70% or greater</w:t>
            </w:r>
          </w:p>
        </w:tc>
        <w:tc>
          <w:tcPr>
            <w:tcW w:w="3790" w:type="dxa"/>
            <w:shd w:val="clear" w:color="auto" w:fill="auto"/>
            <w:tcMar>
              <w:top w:w="100" w:type="dxa"/>
              <w:left w:w="100" w:type="dxa"/>
              <w:bottom w:w="100" w:type="dxa"/>
              <w:right w:w="100" w:type="dxa"/>
            </w:tcMar>
          </w:tcPr>
          <w:p w:rsidR="00BE3CD9" w:rsidRDefault="00636245">
            <w:r>
              <w:t>Score below 70%</w:t>
            </w:r>
          </w:p>
        </w:tc>
      </w:tr>
    </w:tbl>
    <w:p w:rsidR="00BE3CD9" w:rsidRDefault="00BE3CD9"/>
    <w:p w:rsidR="00BE3CD9" w:rsidRDefault="00636245" w:rsidP="009813B0">
      <w:pPr>
        <w:jc w:val="both"/>
      </w:pPr>
      <w:r>
        <w:t>The student must meet ALL criteria at the “Satisfactory” level to receive an “S” grade in the course.</w:t>
      </w:r>
    </w:p>
    <w:p w:rsidR="00BE3CD9" w:rsidRDefault="00BE3CD9" w:rsidP="009813B0">
      <w:pPr>
        <w:jc w:val="both"/>
      </w:pPr>
    </w:p>
    <w:p w:rsidR="00BE3CD9" w:rsidRDefault="00636245" w:rsidP="009813B0">
      <w:pPr>
        <w:jc w:val="both"/>
      </w:pPr>
      <w:r>
        <w:t>Students that receive an “Unsatisfactory” score in any of the above criteria will receive a “U” grade in the course must remediate.</w:t>
      </w:r>
    </w:p>
    <w:p w:rsidR="00BE3CD9" w:rsidRDefault="00BE3CD9" w:rsidP="009813B0">
      <w:pPr>
        <w:jc w:val="both"/>
      </w:pPr>
    </w:p>
    <w:p w:rsidR="00BE3CD9" w:rsidRDefault="00636245" w:rsidP="009813B0">
      <w:pPr>
        <w:jc w:val="both"/>
      </w:pPr>
      <w:r>
        <w:t>*You must successfully complete the competency assessment to pass the course.</w:t>
      </w:r>
    </w:p>
    <w:p w:rsidR="00BE3CD9" w:rsidRDefault="00BE3CD9"/>
    <w:p w:rsidR="00BE3CD9" w:rsidRDefault="00636245">
      <w:pPr>
        <w:pStyle w:val="Heading2"/>
      </w:pPr>
      <w:bookmarkStart w:id="16" w:name="_8jcs37sptwi8" w:colFirst="0" w:colLast="0"/>
      <w:bookmarkEnd w:id="16"/>
      <w:r>
        <w:t xml:space="preserve">Course Remediation: </w:t>
      </w:r>
    </w:p>
    <w:p w:rsidR="00BE3CD9" w:rsidRDefault="00636245" w:rsidP="00636245">
      <w:pPr>
        <w:jc w:val="both"/>
      </w:pPr>
      <w:r>
        <w:t>A student that receives a "U"</w:t>
      </w:r>
      <w:r w:rsidR="009E68A3">
        <w:t xml:space="preserve"> </w:t>
      </w:r>
      <w:r>
        <w:t>grade in the course must meet with the Course Director and schedule to take a remediation assessment based on areas were the student did not perform at satisfactory level.</w:t>
      </w:r>
    </w:p>
    <w:p w:rsidR="00BE3CD9" w:rsidRDefault="00BE3CD9"/>
    <w:p w:rsidR="00BE3CD9" w:rsidRDefault="00636245">
      <w:pPr>
        <w:pStyle w:val="Heading1"/>
      </w:pPr>
      <w:bookmarkStart w:id="17" w:name="_o4qad55756ga" w:colFirst="0" w:colLast="0"/>
      <w:bookmarkEnd w:id="17"/>
      <w:r>
        <w:t>IX. Administrative Practices</w:t>
      </w:r>
    </w:p>
    <w:p w:rsidR="00BE3CD9" w:rsidRDefault="00636245" w:rsidP="009813B0">
      <w:pPr>
        <w:jc w:val="both"/>
      </w:pPr>
      <w:r>
        <w:t>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BE3CD9" w:rsidRDefault="004E7B4E" w:rsidP="009813B0">
      <w:pPr>
        <w:jc w:val="both"/>
      </w:pPr>
      <w:hyperlink r:id="rId6" w:history="1">
        <w:r w:rsidRPr="00391A47">
          <w:rPr>
            <w:rStyle w:val="Hyperlink"/>
          </w:rPr>
          <w:t>https://dental.ufl.edu/education/dmd-program/course-policies/</w:t>
        </w:r>
      </w:hyperlink>
    </w:p>
    <w:p w:rsidR="00BE3CD9" w:rsidRDefault="00636245">
      <w:pPr>
        <w:pStyle w:val="Heading1"/>
      </w:pPr>
      <w:bookmarkStart w:id="18" w:name="_gb39q6lno09" w:colFirst="0" w:colLast="0"/>
      <w:bookmarkEnd w:id="18"/>
      <w:r>
        <w:t>X. Grade Scale</w:t>
      </w:r>
      <w:bookmarkStart w:id="19" w:name="_GoBack"/>
      <w:bookmarkEnd w:id="19"/>
    </w:p>
    <w:p w:rsidR="00BE3CD9" w:rsidRDefault="00636245">
      <w:r>
        <w:t>This course uses a Satisfactory/Unsatisfactory grade scale.</w:t>
      </w:r>
    </w:p>
    <w:p w:rsidR="00BE3CD9" w:rsidRDefault="00BE3CD9"/>
    <w:sectPr w:rsidR="00BE3CD9" w:rsidSect="00B84518">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4392"/>
    <w:multiLevelType w:val="hybridMultilevel"/>
    <w:tmpl w:val="EE8A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437B0"/>
    <w:multiLevelType w:val="hybridMultilevel"/>
    <w:tmpl w:val="5694FD22"/>
    <w:lvl w:ilvl="0" w:tplc="7CECD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550B8"/>
    <w:multiLevelType w:val="hybridMultilevel"/>
    <w:tmpl w:val="AF584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757FF4"/>
    <w:multiLevelType w:val="multilevel"/>
    <w:tmpl w:val="2A04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NjU0sjA1MjE0NDRX0lEKTi0uzszPAykwqQUA4/qBxiwAAAA="/>
  </w:docVars>
  <w:rsids>
    <w:rsidRoot w:val="00BE3CD9"/>
    <w:rsid w:val="00057E6D"/>
    <w:rsid w:val="000621B0"/>
    <w:rsid w:val="00073D24"/>
    <w:rsid w:val="00373EA2"/>
    <w:rsid w:val="00432D37"/>
    <w:rsid w:val="004E7B4E"/>
    <w:rsid w:val="00636245"/>
    <w:rsid w:val="006E6961"/>
    <w:rsid w:val="006F6726"/>
    <w:rsid w:val="00796A2A"/>
    <w:rsid w:val="007A4CDD"/>
    <w:rsid w:val="009813B0"/>
    <w:rsid w:val="009B54F8"/>
    <w:rsid w:val="009E68A3"/>
    <w:rsid w:val="00AC226F"/>
    <w:rsid w:val="00AE3DB1"/>
    <w:rsid w:val="00B43455"/>
    <w:rsid w:val="00B84518"/>
    <w:rsid w:val="00BE3CD9"/>
    <w:rsid w:val="00E56BAD"/>
    <w:rsid w:val="00E768A6"/>
    <w:rsid w:val="00EE6F0C"/>
    <w:rsid w:val="00F2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E54C"/>
  <w15:docId w15:val="{16408F65-754B-465D-A236-F60B4CE0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68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A3"/>
    <w:rPr>
      <w:rFonts w:ascii="Segoe UI" w:hAnsi="Segoe UI" w:cs="Segoe UI"/>
      <w:sz w:val="18"/>
      <w:szCs w:val="18"/>
    </w:rPr>
  </w:style>
  <w:style w:type="paragraph" w:styleId="NormalWeb">
    <w:name w:val="Normal (Web)"/>
    <w:basedOn w:val="Normal"/>
    <w:uiPriority w:val="99"/>
    <w:semiHidden/>
    <w:unhideWhenUsed/>
    <w:rsid w:val="00373E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43455"/>
    <w:pPr>
      <w:ind w:left="720"/>
      <w:contextualSpacing/>
    </w:pPr>
  </w:style>
  <w:style w:type="character" w:styleId="Hyperlink">
    <w:name w:val="Hyperlink"/>
    <w:basedOn w:val="DefaultParagraphFont"/>
    <w:uiPriority w:val="99"/>
    <w:unhideWhenUsed/>
    <w:rsid w:val="006F6726"/>
    <w:rPr>
      <w:color w:val="0000FF" w:themeColor="hyperlink"/>
      <w:u w:val="single"/>
    </w:rPr>
  </w:style>
  <w:style w:type="character" w:styleId="UnresolvedMention">
    <w:name w:val="Unresolved Mention"/>
    <w:basedOn w:val="DefaultParagraphFont"/>
    <w:uiPriority w:val="99"/>
    <w:semiHidden/>
    <w:unhideWhenUsed/>
    <w:rsid w:val="006F6726"/>
    <w:rPr>
      <w:color w:val="605E5C"/>
      <w:shd w:val="clear" w:color="auto" w:fill="E1DFDD"/>
    </w:rPr>
  </w:style>
  <w:style w:type="character" w:styleId="FollowedHyperlink">
    <w:name w:val="FollowedHyperlink"/>
    <w:basedOn w:val="DefaultParagraphFont"/>
    <w:uiPriority w:val="99"/>
    <w:semiHidden/>
    <w:unhideWhenUsed/>
    <w:rsid w:val="006F6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1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ntal.ufl.edu/education/dmd-program/course-poli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2012-48A1-402B-8BD3-92537B83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Ryan,Christina L</cp:lastModifiedBy>
  <cp:revision>18</cp:revision>
  <cp:lastPrinted>2021-06-08T14:21:00Z</cp:lastPrinted>
  <dcterms:created xsi:type="dcterms:W3CDTF">2021-06-08T14:12:00Z</dcterms:created>
  <dcterms:modified xsi:type="dcterms:W3CDTF">2021-06-21T13:37:00Z</dcterms:modified>
</cp:coreProperties>
</file>