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m1zf3t25127" w:id="0"/>
      <w:bookmarkEnd w:id="0"/>
      <w:r w:rsidDel="00000000" w:rsidR="00000000" w:rsidRPr="00000000">
        <w:rPr>
          <w:rtl w:val="0"/>
        </w:rPr>
        <w:t xml:space="preserve">DEN5013: Foundations of Professionalism</w:t>
      </w:r>
    </w:p>
    <w:p w:rsidR="00000000" w:rsidDel="00000000" w:rsidP="00000000" w:rsidRDefault="00000000" w:rsidRPr="00000000" w14:paraId="00000002">
      <w:pPr>
        <w:pStyle w:val="Subtitle"/>
        <w:rPr/>
      </w:pPr>
      <w:bookmarkStart w:colFirst="0" w:colLast="0" w:name="_qt8xfv3okj0"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ytt4athhwrq"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provides an orientation to the new dental student and establishes the foundation for the development of an emotionally healthy and ethically competent general dentist. The new student is oriented to a variety of studying and coping skills to maintain emotional health</w:t>
      </w:r>
    </w:p>
    <w:p w:rsidR="00000000" w:rsidDel="00000000" w:rsidP="00000000" w:rsidRDefault="00000000" w:rsidRPr="00000000" w14:paraId="00000005">
      <w:pPr>
        <w:rPr/>
      </w:pPr>
      <w:r w:rsidDel="00000000" w:rsidR="00000000" w:rsidRPr="00000000">
        <w:rPr>
          <w:rtl w:val="0"/>
        </w:rPr>
        <w:t xml:space="preserve">and productive learning, and also learns the rules and regulations governing academic and professional behavior. The student will learn about the ethical principles impacting the dental profession and how to apply these principles to ethical dilemmas.</w:t>
      </w:r>
    </w:p>
    <w:p w:rsidR="00000000" w:rsidDel="00000000" w:rsidP="00000000" w:rsidRDefault="00000000" w:rsidRPr="00000000" w14:paraId="00000006">
      <w:pPr>
        <w:pStyle w:val="Heading1"/>
        <w:rPr/>
      </w:pPr>
      <w:bookmarkStart w:colFirst="0" w:colLast="0" w:name="_h6c8g4ddvywz" w:id="3"/>
      <w:bookmarkEnd w:id="3"/>
      <w:r w:rsidDel="00000000" w:rsidR="00000000" w:rsidRPr="00000000">
        <w:rPr>
          <w:rtl w:val="0"/>
        </w:rPr>
        <w:t xml:space="preserve">I. General Information</w:t>
      </w:r>
    </w:p>
    <w:p w:rsidR="00000000" w:rsidDel="00000000" w:rsidP="00000000" w:rsidRDefault="00000000" w:rsidRPr="00000000" w14:paraId="00000007">
      <w:pPr>
        <w:pStyle w:val="Heading2"/>
        <w:rPr/>
      </w:pPr>
      <w:bookmarkStart w:colFirst="0" w:colLast="0" w:name="_ebvtil6y2x21" w:id="4"/>
      <w:bookmarkEnd w:id="4"/>
      <w:r w:rsidDel="00000000" w:rsidR="00000000" w:rsidRPr="00000000">
        <w:rPr>
          <w:rtl w:val="0"/>
        </w:rPr>
        <w:t xml:space="preserve">Course Director: </w:t>
      </w:r>
    </w:p>
    <w:p w:rsidR="00000000" w:rsidDel="00000000" w:rsidP="00000000" w:rsidRDefault="00000000" w:rsidRPr="00000000" w14:paraId="00000008">
      <w:pPr>
        <w:rPr/>
      </w:pPr>
      <w:r w:rsidDel="00000000" w:rsidR="00000000" w:rsidRPr="00000000">
        <w:rPr>
          <w:rtl w:val="0"/>
        </w:rPr>
        <w:t xml:space="preserve">Course Director: Olga S Luaces, D.M.D., M.P.H.</w:t>
      </w:r>
    </w:p>
    <w:p w:rsidR="00000000" w:rsidDel="00000000" w:rsidP="00000000" w:rsidRDefault="00000000" w:rsidRPr="00000000" w14:paraId="00000009">
      <w:pPr>
        <w:rPr/>
      </w:pPr>
      <w:r w:rsidDel="00000000" w:rsidR="00000000" w:rsidRPr="00000000">
        <w:rPr>
          <w:rtl w:val="0"/>
        </w:rPr>
        <w:t xml:space="preserve">Office: 1329 S.W. 16th Street, Room 5180</w:t>
      </w:r>
    </w:p>
    <w:p w:rsidR="00000000" w:rsidDel="00000000" w:rsidP="00000000" w:rsidRDefault="00000000" w:rsidRPr="00000000" w14:paraId="0000000A">
      <w:pPr>
        <w:rPr/>
      </w:pPr>
      <w:r w:rsidDel="00000000" w:rsidR="00000000" w:rsidRPr="00000000">
        <w:rPr>
          <w:rtl w:val="0"/>
        </w:rPr>
        <w:t xml:space="preserve">Email: OLuaces@dental.ufl.edu</w:t>
      </w:r>
    </w:p>
    <w:p w:rsidR="00000000" w:rsidDel="00000000" w:rsidP="00000000" w:rsidRDefault="00000000" w:rsidRPr="00000000" w14:paraId="0000000B">
      <w:pPr>
        <w:rPr/>
      </w:pPr>
      <w:r w:rsidDel="00000000" w:rsidR="00000000" w:rsidRPr="00000000">
        <w:rPr>
          <w:rtl w:val="0"/>
        </w:rPr>
        <w:t xml:space="preserve">Phone: (352) 273-5031</w:t>
      </w:r>
    </w:p>
    <w:p w:rsidR="00000000" w:rsidDel="00000000" w:rsidP="00000000" w:rsidRDefault="00000000" w:rsidRPr="00000000" w14:paraId="0000000C">
      <w:pPr>
        <w:rPr/>
      </w:pPr>
      <w:r w:rsidDel="00000000" w:rsidR="00000000" w:rsidRPr="00000000">
        <w:rPr>
          <w:rtl w:val="0"/>
        </w:rPr>
        <w:t xml:space="preserve">Course Credits: 2</w:t>
      </w:r>
    </w:p>
    <w:p w:rsidR="00000000" w:rsidDel="00000000" w:rsidP="00000000" w:rsidRDefault="00000000" w:rsidRPr="00000000" w14:paraId="0000000D">
      <w:pPr>
        <w:rPr/>
      </w:pPr>
      <w:r w:rsidDel="00000000" w:rsidR="00000000" w:rsidRPr="00000000">
        <w:rPr>
          <w:rtl w:val="0"/>
        </w:rPr>
        <w:t xml:space="preserve">Semester: Fall</w:t>
      </w:r>
    </w:p>
    <w:p w:rsidR="00000000" w:rsidDel="00000000" w:rsidP="00000000" w:rsidRDefault="00000000" w:rsidRPr="00000000" w14:paraId="0000000E">
      <w:pPr>
        <w:pStyle w:val="Heading2"/>
        <w:rPr/>
      </w:pPr>
      <w:bookmarkStart w:colFirst="0" w:colLast="0" w:name="_t2915sus2409"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t xml:space="preserve">Patricia Xirau-Probert (352) 273-5954 PPROBERT@dental.ufl.edu</w:t>
      </w:r>
    </w:p>
    <w:p w:rsidR="00000000" w:rsidDel="00000000" w:rsidP="00000000" w:rsidRDefault="00000000" w:rsidRPr="00000000" w14:paraId="00000010">
      <w:pPr>
        <w:pStyle w:val="Heading2"/>
        <w:rPr/>
      </w:pPr>
      <w:bookmarkStart w:colFirst="0" w:colLast="0" w:name="_lsep7m9v8aed" w:id="6"/>
      <w:bookmarkEnd w:id="6"/>
      <w:r w:rsidDel="00000000" w:rsidR="00000000" w:rsidRPr="00000000">
        <w:rPr>
          <w:rtl w:val="0"/>
        </w:rPr>
        <w:t xml:space="preserve">Support Staff</w:t>
      </w:r>
    </w:p>
    <w:p w:rsidR="00000000" w:rsidDel="00000000" w:rsidP="00000000" w:rsidRDefault="00000000" w:rsidRPr="00000000" w14:paraId="00000011">
      <w:pPr>
        <w:rPr/>
      </w:pPr>
      <w:r w:rsidDel="00000000" w:rsidR="00000000" w:rsidRPr="00000000">
        <w:rPr>
          <w:rtl w:val="0"/>
        </w:rPr>
        <w:t xml:space="preserve">Jennifer Brock Bushnell (352) 273-6800 JBROCK@dental.ufl.edu TA / Grade Administrator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29st9cwjcp5d" w:id="7"/>
      <w:bookmarkEnd w:id="7"/>
      <w:r w:rsidDel="00000000" w:rsidR="00000000" w:rsidRPr="00000000">
        <w:rPr>
          <w:rtl w:val="0"/>
        </w:rPr>
        <w:t xml:space="preserve">II. Course Goals</w:t>
      </w:r>
    </w:p>
    <w:p w:rsidR="00000000" w:rsidDel="00000000" w:rsidP="00000000" w:rsidRDefault="00000000" w:rsidRPr="00000000" w14:paraId="00000014">
      <w:pPr>
        <w:rPr/>
      </w:pPr>
      <w:r w:rsidDel="00000000" w:rsidR="00000000" w:rsidRPr="00000000">
        <w:rPr>
          <w:rtl w:val="0"/>
        </w:rPr>
        <w:t xml:space="preserve">The goal of this course is to establish the foundation for the development of an emotionally healthy and ethically competent general dentist. In the first semester, the new student is oriented to a variety of studying and coping skills to maintain emotional health and productive learning. The new student also learns the culture, rules and regulations governing academic and professional behavior during this orientation period. After the orientation period, the student focuses on the ethical and moral values of the dental profession, culminating in the formation of a Class Code of Conduct.</w:t>
      </w:r>
    </w:p>
    <w:p w:rsidR="00000000" w:rsidDel="00000000" w:rsidP="00000000" w:rsidRDefault="00000000" w:rsidRPr="00000000" w14:paraId="00000015">
      <w:pPr>
        <w:pStyle w:val="Heading1"/>
        <w:rPr/>
      </w:pPr>
      <w:bookmarkStart w:colFirst="0" w:colLast="0" w:name="_dwhn7bd40kos" w:id="8"/>
      <w:bookmarkEnd w:id="8"/>
      <w:r w:rsidDel="00000000" w:rsidR="00000000" w:rsidRPr="00000000">
        <w:rPr>
          <w:rtl w:val="0"/>
        </w:rPr>
        <w:t xml:space="preserve">III. Course Overview</w:t>
      </w:r>
    </w:p>
    <w:p w:rsidR="00000000" w:rsidDel="00000000" w:rsidP="00000000" w:rsidRDefault="00000000" w:rsidRPr="00000000" w14:paraId="00000016">
      <w:pPr>
        <w:rPr/>
      </w:pPr>
      <w:r w:rsidDel="00000000" w:rsidR="00000000" w:rsidRPr="00000000">
        <w:rPr>
          <w:rtl w:val="0"/>
        </w:rPr>
        <w:t xml:space="preserve">This course is the first in a series of courses outlined below designed to provide instruction and mentor students in professionalism as they attain competency in patient care. This series spans the entire curriculum (Semesters 1 – 11) and supports the student's progressive development.</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DEN 5013: Foundations of Professionalism</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DEN 6015: Professionalism in Patient Care and Practice Management I</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DEN 7016: Professionalism in Patient Care and Practice Management II</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DEN 7017: Professionalism in Patient Care and Practice Management III</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DEN 8018: Professionalism in Patient Care and Practice Management IV</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el7mxvfe1c4u" w:id="9"/>
      <w:bookmarkEnd w:id="9"/>
      <w:r w:rsidDel="00000000" w:rsidR="00000000" w:rsidRPr="00000000">
        <w:rPr>
          <w:rtl w:val="0"/>
        </w:rPr>
        <w:t xml:space="preserve">IV. Course Outline</w:t>
      </w:r>
    </w:p>
    <w:p w:rsidR="00000000" w:rsidDel="00000000" w:rsidP="00000000" w:rsidRDefault="00000000" w:rsidRPr="00000000" w14:paraId="0000001E">
      <w:pPr>
        <w:pStyle w:val="Heading2"/>
        <w:rPr/>
      </w:pPr>
      <w:bookmarkStart w:colFirst="0" w:colLast="0" w:name="_nibxokxh545" w:id="10"/>
      <w:bookmarkEnd w:id="10"/>
      <w:r w:rsidDel="00000000" w:rsidR="00000000" w:rsidRPr="00000000">
        <w:rPr>
          <w:rtl w:val="0"/>
        </w:rPr>
        <w:t xml:space="preserve">A. Orientation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Course Orientation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Research Opportunities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Professionalism/Dress Code</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DMD Curriculum Overview</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Academic Standards/Performance Evaluation</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Health and Counseling services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Financial management</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Time management</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Stress/Crisis Management</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Drug Abuse and Eating Disorders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HIPAA Training</w:t>
      </w:r>
    </w:p>
    <w:p w:rsidR="00000000" w:rsidDel="00000000" w:rsidP="00000000" w:rsidRDefault="00000000" w:rsidRPr="00000000" w14:paraId="0000002A">
      <w:pPr>
        <w:pStyle w:val="Heading2"/>
        <w:rPr/>
      </w:pPr>
      <w:bookmarkStart w:colFirst="0" w:colLast="0" w:name="_gxbnlrcob5e3" w:id="11"/>
      <w:bookmarkEnd w:id="11"/>
      <w:r w:rsidDel="00000000" w:rsidR="00000000" w:rsidRPr="00000000">
        <w:rPr>
          <w:rtl w:val="0"/>
        </w:rPr>
        <w:t xml:space="preserve">B. Ethics and Professionalism</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Professionalism Overview</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Ethical Principles and Ethical Decision-Making</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Self-awareness and Professionalism</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Dental Career Options Panel</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Ethical Principles and Applications</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Central Values of Dental Practice</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Oral Health Disparities and Social Justice</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Ethical Dilemmas Discussion Panel</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Development of a Class Code of Conduct &amp; Signing Ceremony</w:t>
      </w:r>
    </w:p>
    <w:p w:rsidR="00000000" w:rsidDel="00000000" w:rsidP="00000000" w:rsidRDefault="00000000" w:rsidRPr="00000000" w14:paraId="00000034">
      <w:pPr>
        <w:pStyle w:val="Heading1"/>
        <w:rPr/>
      </w:pPr>
      <w:bookmarkStart w:colFirst="0" w:colLast="0" w:name="_c99zf7vocpxn" w:id="12"/>
      <w:bookmarkEnd w:id="12"/>
      <w:r w:rsidDel="00000000" w:rsidR="00000000" w:rsidRPr="00000000">
        <w:rPr>
          <w:rtl w:val="0"/>
        </w:rPr>
        <w:t xml:space="preserve">V. Course Material</w:t>
      </w:r>
    </w:p>
    <w:p w:rsidR="00000000" w:rsidDel="00000000" w:rsidP="00000000" w:rsidRDefault="00000000" w:rsidRPr="00000000" w14:paraId="00000035">
      <w:pPr>
        <w:pStyle w:val="Heading2"/>
        <w:rPr/>
      </w:pPr>
      <w:bookmarkStart w:colFirst="0" w:colLast="0" w:name="_swpiroevgx4z" w:id="13"/>
      <w:bookmarkEnd w:id="13"/>
      <w:r w:rsidDel="00000000" w:rsidR="00000000" w:rsidRPr="00000000">
        <w:rPr>
          <w:rtl w:val="0"/>
        </w:rPr>
        <w:t xml:space="preserve">A. Required texts: </w:t>
      </w:r>
    </w:p>
    <w:p w:rsidR="00000000" w:rsidDel="00000000" w:rsidP="00000000" w:rsidRDefault="00000000" w:rsidRPr="00000000" w14:paraId="00000036">
      <w:pPr>
        <w:rPr/>
      </w:pPr>
      <w:r w:rsidDel="00000000" w:rsidR="00000000" w:rsidRPr="00000000">
        <w:rPr>
          <w:rtl w:val="0"/>
        </w:rPr>
        <w:t xml:space="preserve">None</w:t>
      </w:r>
    </w:p>
    <w:p w:rsidR="00000000" w:rsidDel="00000000" w:rsidP="00000000" w:rsidRDefault="00000000" w:rsidRPr="00000000" w14:paraId="00000037">
      <w:pPr>
        <w:pStyle w:val="Heading2"/>
        <w:rPr/>
      </w:pPr>
      <w:bookmarkStart w:colFirst="0" w:colLast="0" w:name="_lnprylbrweqg" w:id="14"/>
      <w:bookmarkEnd w:id="14"/>
      <w:r w:rsidDel="00000000" w:rsidR="00000000" w:rsidRPr="00000000">
        <w:rPr>
          <w:rtl w:val="0"/>
        </w:rPr>
        <w:t xml:space="preserve">B. Recommended texts:</w:t>
      </w:r>
    </w:p>
    <w:p w:rsidR="00000000" w:rsidDel="00000000" w:rsidP="00000000" w:rsidRDefault="00000000" w:rsidRPr="00000000" w14:paraId="00000038">
      <w:pPr>
        <w:rPr/>
      </w:pPr>
      <w:r w:rsidDel="00000000" w:rsidR="00000000" w:rsidRPr="00000000">
        <w:rPr>
          <w:rtl w:val="0"/>
        </w:rPr>
        <w:t xml:space="preserve">Dental Ethics at Chairside: Professional Obligations and Practical Applications, Third Edition.</w:t>
      </w:r>
    </w:p>
    <w:p w:rsidR="00000000" w:rsidDel="00000000" w:rsidP="00000000" w:rsidRDefault="00000000" w:rsidRPr="00000000" w14:paraId="00000039">
      <w:pPr>
        <w:rPr/>
      </w:pPr>
      <w:r w:rsidDel="00000000" w:rsidR="00000000" w:rsidRPr="00000000">
        <w:rPr>
          <w:rtl w:val="0"/>
        </w:rPr>
        <w:t xml:space="preserve">Authors: David T. Ozar, David J. Sokol, and Donald E. Patthoff.</w:t>
      </w:r>
    </w:p>
    <w:p w:rsidR="00000000" w:rsidDel="00000000" w:rsidP="00000000" w:rsidRDefault="00000000" w:rsidRPr="00000000" w14:paraId="0000003A">
      <w:pPr>
        <w:rPr/>
      </w:pPr>
      <w:r w:rsidDel="00000000" w:rsidR="00000000" w:rsidRPr="00000000">
        <w:rPr>
          <w:rtl w:val="0"/>
        </w:rPr>
        <w:t xml:space="preserve">Publisher: Georgetown University Press</w:t>
      </w:r>
    </w:p>
    <w:p w:rsidR="00000000" w:rsidDel="00000000" w:rsidP="00000000" w:rsidRDefault="00000000" w:rsidRPr="00000000" w14:paraId="0000003B">
      <w:pPr>
        <w:rPr/>
      </w:pPr>
      <w:r w:rsidDel="00000000" w:rsidR="00000000" w:rsidRPr="00000000">
        <w:rPr>
          <w:rtl w:val="0"/>
        </w:rPr>
        <w:t xml:space="preserve">ISBN: 162616553X</w:t>
      </w:r>
    </w:p>
    <w:p w:rsidR="00000000" w:rsidDel="00000000" w:rsidP="00000000" w:rsidRDefault="00000000" w:rsidRPr="00000000" w14:paraId="0000003C">
      <w:pPr>
        <w:pStyle w:val="Heading1"/>
        <w:rPr/>
      </w:pPr>
      <w:bookmarkStart w:colFirst="0" w:colLast="0" w:name="_pjwgbedjjgo6" w:id="15"/>
      <w:bookmarkEnd w:id="15"/>
      <w:r w:rsidDel="00000000" w:rsidR="00000000" w:rsidRPr="00000000">
        <w:rPr>
          <w:rtl w:val="0"/>
        </w:rPr>
        <w:t xml:space="preserve">VI. Course Objectives</w:t>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To identify and reflect on the professional obligations and values of dentistry.</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To recognize and apply the ethical principles of dentistry as student dentists and future dental professionals.</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To gain awareness of health disparities so as to better address the oral health needs of diverse populations.</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To integrate personal learning styles and coping skills throughout the dental school experience.</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To effectively communicate and collaborate with classmates, professional colleagues, and future patients.</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To develop leadership skills as future dental professionals.</w:t>
      </w:r>
    </w:p>
    <w:p w:rsidR="00000000" w:rsidDel="00000000" w:rsidP="00000000" w:rsidRDefault="00000000" w:rsidRPr="00000000" w14:paraId="00000043">
      <w:pPr>
        <w:pStyle w:val="Heading1"/>
        <w:rPr/>
      </w:pPr>
      <w:bookmarkStart w:colFirst="0" w:colLast="0" w:name="_xyhfbbaij2xm" w:id="16"/>
      <w:bookmarkEnd w:id="16"/>
      <w:r w:rsidDel="00000000" w:rsidR="00000000" w:rsidRPr="00000000">
        <w:rPr>
          <w:rtl w:val="0"/>
        </w:rPr>
        <w:t xml:space="preserve">VII. Course Competencies</w:t>
      </w:r>
    </w:p>
    <w:p w:rsidR="00000000" w:rsidDel="00000000" w:rsidP="00000000" w:rsidRDefault="00000000" w:rsidRPr="00000000" w14:paraId="00000044">
      <w:pPr>
        <w:rPr/>
      </w:pPr>
      <w:r w:rsidDel="00000000" w:rsidR="00000000" w:rsidRPr="00000000">
        <w:rPr>
          <w:rtl w:val="0"/>
        </w:rPr>
        <w:t xml:space="preserve">This course teaches to the following competencies in the "Competencies for the New Dental Graduate":</w:t>
      </w:r>
    </w:p>
    <w:p w:rsidR="00000000" w:rsidDel="00000000" w:rsidP="00000000" w:rsidRDefault="00000000" w:rsidRPr="00000000" w14:paraId="00000045">
      <w:pPr>
        <w:rPr/>
      </w:pPr>
      <w:r w:rsidDel="00000000" w:rsidR="00000000" w:rsidRPr="00000000">
        <w:rPr>
          <w:rtl w:val="0"/>
        </w:rPr>
        <w:t xml:space="preserve">Domain I: Critical Thinking</w:t>
      </w:r>
    </w:p>
    <w:p w:rsidR="00000000" w:rsidDel="00000000" w:rsidP="00000000" w:rsidRDefault="00000000" w:rsidRPr="00000000" w14:paraId="00000046">
      <w:pPr>
        <w:rPr/>
      </w:pPr>
      <w:r w:rsidDel="00000000" w:rsidR="00000000" w:rsidRPr="00000000">
        <w:rPr>
          <w:rtl w:val="0"/>
        </w:rPr>
        <w:t xml:space="preserve">1: Critical Thinking: Use critical thinking and problem-solving, including their use in the comprehensive care of patients, scientific inquiry and research methodology.</w:t>
      </w:r>
    </w:p>
    <w:p w:rsidR="00000000" w:rsidDel="00000000" w:rsidP="00000000" w:rsidRDefault="00000000" w:rsidRPr="00000000" w14:paraId="00000047">
      <w:pPr>
        <w:rPr/>
      </w:pPr>
      <w:r w:rsidDel="00000000" w:rsidR="00000000" w:rsidRPr="00000000">
        <w:rPr>
          <w:rtl w:val="0"/>
        </w:rPr>
        <w:t xml:space="preserve">Domain II: Professionalism</w:t>
      </w:r>
    </w:p>
    <w:p w:rsidR="00000000" w:rsidDel="00000000" w:rsidP="00000000" w:rsidRDefault="00000000" w:rsidRPr="00000000" w14:paraId="00000048">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49">
      <w:pPr>
        <w:rPr/>
      </w:pPr>
      <w:r w:rsidDel="00000000" w:rsidR="00000000" w:rsidRPr="00000000">
        <w:rPr>
          <w:rtl w:val="0"/>
        </w:rPr>
        <w:t xml:space="preserve">5: Legal Standards: Apply legal and regulatory concepts related to the provision and/or support of oral health care services.</w:t>
      </w:r>
    </w:p>
    <w:p w:rsidR="00000000" w:rsidDel="00000000" w:rsidP="00000000" w:rsidRDefault="00000000" w:rsidRPr="00000000" w14:paraId="0000004A">
      <w:pPr>
        <w:rPr/>
      </w:pPr>
      <w:r w:rsidDel="00000000" w:rsidR="00000000" w:rsidRPr="00000000">
        <w:rPr>
          <w:rtl w:val="0"/>
        </w:rPr>
        <w:t xml:space="preserve">Domain III: Communication and Interpersonal Skills</w:t>
      </w:r>
    </w:p>
    <w:p w:rsidR="00000000" w:rsidDel="00000000" w:rsidP="00000000" w:rsidRDefault="00000000" w:rsidRPr="00000000" w14:paraId="0000004B">
      <w:pPr>
        <w:rPr/>
      </w:pPr>
      <w:r w:rsidDel="00000000" w:rsidR="00000000" w:rsidRPr="00000000">
        <w:rPr>
          <w:rtl w:val="0"/>
        </w:rPr>
        <w:t xml:space="preserve">8: Diversity: Manage a diverse patient population and have the interpersonal and communication skills to function successfully in a multicultural work environment.</w:t>
      </w:r>
    </w:p>
    <w:p w:rsidR="00000000" w:rsidDel="00000000" w:rsidP="00000000" w:rsidRDefault="00000000" w:rsidRPr="00000000" w14:paraId="0000004C">
      <w:pPr>
        <w:rPr/>
      </w:pPr>
      <w:r w:rsidDel="00000000" w:rsidR="00000000" w:rsidRPr="00000000">
        <w:rPr>
          <w:rtl w:val="0"/>
        </w:rPr>
        <w:t xml:space="preserve">Domain V: Practice Management and Informatics</w:t>
      </w:r>
    </w:p>
    <w:p w:rsidR="00000000" w:rsidDel="00000000" w:rsidP="00000000" w:rsidRDefault="00000000" w:rsidRPr="00000000" w14:paraId="0000004D">
      <w:pPr>
        <w:rPr/>
      </w:pPr>
      <w:r w:rsidDel="00000000" w:rsidR="00000000" w:rsidRPr="00000000">
        <w:rPr>
          <w:rtl w:val="0"/>
        </w:rPr>
        <w:t xml:space="preserve">11: Practice Management: Apply the basic principles and philosophies of practice management, models of oral health care delivery and how to function successfully as the leader of the oral health care team.</w:t>
      </w:r>
    </w:p>
    <w:p w:rsidR="00000000" w:rsidDel="00000000" w:rsidP="00000000" w:rsidRDefault="00000000" w:rsidRPr="00000000" w14:paraId="0000004E">
      <w:pPr>
        <w:rPr/>
      </w:pPr>
      <w:r w:rsidDel="00000000" w:rsidR="00000000" w:rsidRPr="00000000">
        <w:rPr>
          <w:rtl w:val="0"/>
        </w:rPr>
        <w:t xml:space="preserve">Domain IV: Health Promotion</w:t>
      </w:r>
    </w:p>
    <w:p w:rsidR="00000000" w:rsidDel="00000000" w:rsidP="00000000" w:rsidRDefault="00000000" w:rsidRPr="00000000" w14:paraId="0000004F">
      <w:pPr>
        <w:rPr/>
      </w:pPr>
      <w:r w:rsidDel="00000000" w:rsidR="00000000" w:rsidRPr="00000000">
        <w:rPr>
          <w:rtl w:val="0"/>
        </w:rPr>
        <w:t xml:space="preserve">9: Health Promotion &amp; Disease Prevention: Provide oral health care within the scope of general dentistry to include health promotion and disease prevention.</w:t>
      </w:r>
    </w:p>
    <w:p w:rsidR="00000000" w:rsidDel="00000000" w:rsidP="00000000" w:rsidRDefault="00000000" w:rsidRPr="00000000" w14:paraId="00000050">
      <w:pPr>
        <w:pStyle w:val="Heading1"/>
        <w:rPr/>
      </w:pPr>
      <w:bookmarkStart w:colFirst="0" w:colLast="0" w:name="_hvyjjtttuajh" w:id="17"/>
      <w:bookmarkEnd w:id="17"/>
      <w:r w:rsidDel="00000000" w:rsidR="00000000" w:rsidRPr="00000000">
        <w:rPr>
          <w:rtl w:val="0"/>
        </w:rPr>
        <w:t xml:space="preserve">VIII. Evaluation</w:t>
      </w:r>
    </w:p>
    <w:p w:rsidR="00000000" w:rsidDel="00000000" w:rsidP="00000000" w:rsidRDefault="00000000" w:rsidRPr="00000000" w14:paraId="00000051">
      <w:pPr>
        <w:rPr/>
      </w:pPr>
      <w:r w:rsidDel="00000000" w:rsidR="00000000" w:rsidRPr="00000000">
        <w:rPr>
          <w:rtl w:val="0"/>
        </w:rPr>
        <w:t xml:space="preserve">The following will be used to determine the final course grade:</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Attendance (10%) - Attendance is required for synchronous Zoom class sessions. For an absence to be counted as excused, the Course Director and the Office of Education must be notified. Please refer to the UFCD Pre-Doctoral Student Handbook for policies related to absence.</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Professionalism Reflection Paper (5%) - Reflective essay completed in the summer prior to the course.</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Syllabus Quiz (5%) - Quiz available in Canvas under “Overview of Professionalism” Module.</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Exam 1 (Pass/Fail, 0%) - This multiple choice examination evaluates your understanding of the components of the Student Handbook, various student-oriented campus resources available, fundamentals of personal oral hygiene practices, college research opportunities for students, principles of time, money and stress management, and maintenance of personal physical and mental health. This exam will be graded as pass/fail. If the student does not achieve a passing grade </w:t>
      </w:r>
      <w:r w:rsidDel="00000000" w:rsidR="00000000" w:rsidRPr="00000000">
        <w:rPr>
          <w:rtl w:val="0"/>
        </w:rPr>
        <w:t xml:space="preserve">(&lt;65),</w:t>
      </w:r>
      <w:r w:rsidDel="00000000" w:rsidR="00000000" w:rsidRPr="00000000">
        <w:rPr>
          <w:rtl w:val="0"/>
        </w:rPr>
        <w:t xml:space="preserve"> the student will retake the examination until a passing grade is achieved.</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Ethical Principles Quiz (5%) - Quiz available in Canvas under “Ethical Principles and Ethical Decision-Making” Module. This quiz will assess dental students’ knowledge of ethical principles prior to case discussions.</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Ethical Principles Group Project (25%) - Project details available in Canvas under “Ethical Principles Group Project” Module. </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Ethics in History Research Assignment (20%) - Assignment details available in Canvas under “Ethical Principles and Applications” Module.  </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Self-awareness Reflection Assignment (5%) - Assignment details available in Canvas under “Self-awareness and Professionalism” Module.</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Self-care Activity (5%) - Assignment details available in Canvas under “Self-awareness and Professionalism” Module.</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Class Code of Conduct Development (5%) - Assignment details available in Canvas under “Class Code of Conduct Development” Module.</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Reflective Essay on Equity, Diversity, and Oral Health Disparities (5%) - Assignment details available in Canvas under “Oral Health Disparities and Social Justice” Module.</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Exam 2 (10%) - Comprehensive exam covering material from lectures, case discussions, and group presentations.</w:t>
      </w:r>
    </w:p>
    <w:p w:rsidR="00000000" w:rsidDel="00000000" w:rsidP="00000000" w:rsidRDefault="00000000" w:rsidRPr="00000000" w14:paraId="0000005E">
      <w:pPr>
        <w:pStyle w:val="Heading2"/>
        <w:rPr/>
      </w:pPr>
      <w:bookmarkStart w:colFirst="0" w:colLast="0" w:name="_nmpbzon32ut9" w:id="18"/>
      <w:bookmarkEnd w:id="18"/>
      <w:r w:rsidDel="00000000" w:rsidR="00000000" w:rsidRPr="00000000">
        <w:rPr>
          <w:rtl w:val="0"/>
        </w:rPr>
        <w:t xml:space="preserve">Remediation: </w:t>
      </w:r>
    </w:p>
    <w:p w:rsidR="00000000" w:rsidDel="00000000" w:rsidP="00000000" w:rsidRDefault="00000000" w:rsidRPr="00000000" w14:paraId="0000005F">
      <w:pPr>
        <w:rPr/>
      </w:pPr>
      <w:r w:rsidDel="00000000" w:rsidR="00000000" w:rsidRPr="00000000">
        <w:rPr>
          <w:rtl w:val="0"/>
        </w:rPr>
        <w:t xml:space="preserve">If the student does not achieve a passing grade, they will be reported to the Student Performance Evaluation Committee (SPEC) and must meet with the Course Director to determine a remediation plan. Remediation may consist of a new examination with short-answer questions reviewing course material and an analysis of 1-2 ethical dilemma cases.</w:t>
      </w:r>
    </w:p>
    <w:p w:rsidR="00000000" w:rsidDel="00000000" w:rsidP="00000000" w:rsidRDefault="00000000" w:rsidRPr="00000000" w14:paraId="00000060">
      <w:pPr>
        <w:pStyle w:val="Heading1"/>
        <w:keepNext w:val="0"/>
        <w:keepLines w:val="0"/>
        <w:shd w:fill="ffffff" w:val="clear"/>
        <w:spacing w:before="480" w:lineRule="auto"/>
        <w:rPr/>
      </w:pPr>
      <w:bookmarkStart w:colFirst="0" w:colLast="0" w:name="_j201c0f174g6" w:id="19"/>
      <w:bookmarkEnd w:id="19"/>
      <w:r w:rsidDel="00000000" w:rsidR="00000000" w:rsidRPr="00000000">
        <w:rPr>
          <w:rtl w:val="0"/>
        </w:rPr>
        <w:t xml:space="preserve">IX. Administrative Practices</w:t>
      </w:r>
    </w:p>
    <w:p w:rsidR="00000000" w:rsidDel="00000000" w:rsidP="00000000" w:rsidRDefault="00000000" w:rsidRPr="00000000" w14:paraId="00000061">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62">
      <w:pPr>
        <w:shd w:fill="ffffff" w:val="clear"/>
        <w:spacing w:before="240" w:lineRule="auto"/>
        <w:rPr/>
      </w:pPr>
      <w:hyperlink r:id="rId6">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1"/>
        <w:rPr/>
      </w:pPr>
      <w:bookmarkStart w:colFirst="0" w:colLast="0" w:name="_nxlgi4c55zu" w:id="20"/>
      <w:bookmarkEnd w:id="20"/>
      <w:r w:rsidDel="00000000" w:rsidR="00000000" w:rsidRPr="00000000">
        <w:rPr>
          <w:rtl w:val="0"/>
        </w:rPr>
        <w:t xml:space="preserve">X. Grade Scale</w:t>
      </w:r>
    </w:p>
    <w:p w:rsidR="00000000" w:rsidDel="00000000" w:rsidP="00000000" w:rsidRDefault="00000000" w:rsidRPr="00000000" w14:paraId="00000065">
      <w:pPr>
        <w:rPr/>
      </w:pPr>
      <w:r w:rsidDel="00000000" w:rsidR="00000000" w:rsidRPr="00000000">
        <w:rPr>
          <w:rtl w:val="0"/>
        </w:rPr>
        <w:t xml:space="preserve">Method: Letter Grade</w:t>
      </w:r>
    </w:p>
    <w:p w:rsidR="00000000" w:rsidDel="00000000" w:rsidP="00000000" w:rsidRDefault="00000000" w:rsidRPr="00000000" w14:paraId="00000066">
      <w:pPr>
        <w:rPr/>
      </w:pPr>
      <w:r w:rsidDel="00000000" w:rsidR="00000000" w:rsidRPr="00000000">
        <w:rPr>
          <w:rtl w:val="0"/>
        </w:rPr>
        <w:t xml:space="preserve">Scale: 100</w:t>
      </w:r>
    </w:p>
    <w:p w:rsidR="00000000" w:rsidDel="00000000" w:rsidP="00000000" w:rsidRDefault="00000000" w:rsidRPr="00000000" w14:paraId="00000067">
      <w:pPr>
        <w:rPr/>
      </w:pPr>
      <w:r w:rsidDel="00000000" w:rsidR="00000000" w:rsidRPr="00000000">
        <w:rPr>
          <w:rtl w:val="0"/>
        </w:rPr>
        <w:t xml:space="preserve">Tolerance: 0.5 (Final letter grades within this range will be rounded up.)</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
        <w:tblW w:w="2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800"/>
        <w:tblGridChange w:id="0">
          <w:tblGrid>
            <w:gridCol w:w="885"/>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95 - 100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90 - 95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85 - 90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80 - 85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75 - 80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70 - 75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65 - 70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0 - 65</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ntal.ufl.edu/education/dmd-program/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