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F90" w:rsidRDefault="00904E48" w:rsidP="00904E48">
      <w:pPr>
        <w:spacing w:after="0"/>
        <w:rPr>
          <w:b/>
          <w:sz w:val="24"/>
          <w:szCs w:val="24"/>
        </w:rPr>
      </w:pPr>
      <w:r>
        <w:rPr>
          <w:b/>
          <w:sz w:val="24"/>
          <w:szCs w:val="24"/>
        </w:rPr>
        <w:t>MINUTES:  Faculty Associates, Inc.</w:t>
      </w:r>
    </w:p>
    <w:p w:rsidR="00904E48" w:rsidRDefault="00904E48" w:rsidP="00904E48">
      <w:pPr>
        <w:spacing w:after="0"/>
        <w:rPr>
          <w:b/>
          <w:sz w:val="24"/>
          <w:szCs w:val="24"/>
        </w:rPr>
      </w:pPr>
      <w:r>
        <w:rPr>
          <w:b/>
          <w:sz w:val="24"/>
          <w:szCs w:val="24"/>
        </w:rPr>
        <w:t>Board of Directors</w:t>
      </w:r>
    </w:p>
    <w:p w:rsidR="00904E48" w:rsidRDefault="00904E48" w:rsidP="00904E48">
      <w:pPr>
        <w:spacing w:after="0"/>
        <w:rPr>
          <w:b/>
          <w:sz w:val="24"/>
          <w:szCs w:val="24"/>
        </w:rPr>
      </w:pPr>
      <w:r>
        <w:rPr>
          <w:b/>
          <w:sz w:val="24"/>
          <w:szCs w:val="24"/>
        </w:rPr>
        <w:t>Monday, June 10, 2019</w:t>
      </w:r>
    </w:p>
    <w:p w:rsidR="00904E48" w:rsidRDefault="00904E48" w:rsidP="00904E48">
      <w:pPr>
        <w:spacing w:after="0"/>
        <w:rPr>
          <w:b/>
          <w:sz w:val="24"/>
          <w:szCs w:val="24"/>
        </w:rPr>
      </w:pPr>
      <w:r>
        <w:rPr>
          <w:b/>
          <w:sz w:val="24"/>
          <w:szCs w:val="24"/>
        </w:rPr>
        <w:t>Time: 1:00pm-1:50pm</w:t>
      </w:r>
    </w:p>
    <w:p w:rsidR="00904E48" w:rsidRDefault="00904E48" w:rsidP="00904E48">
      <w:pPr>
        <w:spacing w:after="0"/>
        <w:rPr>
          <w:b/>
          <w:sz w:val="24"/>
          <w:szCs w:val="24"/>
        </w:rPr>
      </w:pPr>
      <w:r>
        <w:rPr>
          <w:b/>
          <w:sz w:val="24"/>
          <w:szCs w:val="24"/>
        </w:rPr>
        <w:t>Location: D4-16</w:t>
      </w:r>
    </w:p>
    <w:p w:rsidR="00904E48" w:rsidRDefault="00904E48" w:rsidP="00904E48">
      <w:pPr>
        <w:spacing w:after="0"/>
        <w:rPr>
          <w:b/>
          <w:sz w:val="24"/>
          <w:szCs w:val="24"/>
        </w:rPr>
      </w:pPr>
    </w:p>
    <w:p w:rsidR="00904E48" w:rsidRDefault="00904E48" w:rsidP="00904E48">
      <w:pPr>
        <w:spacing w:after="0"/>
        <w:rPr>
          <w:sz w:val="24"/>
          <w:szCs w:val="24"/>
        </w:rPr>
      </w:pPr>
      <w:r>
        <w:rPr>
          <w:b/>
          <w:sz w:val="24"/>
          <w:szCs w:val="24"/>
        </w:rPr>
        <w:t xml:space="preserve">Present:  </w:t>
      </w:r>
      <w:r>
        <w:rPr>
          <w:sz w:val="24"/>
          <w:szCs w:val="24"/>
        </w:rPr>
        <w:t>Isabel Garcia (chair), Curtis Reynolds (by phone), Cesar Migliorati, John Hardeman, Valeria Gord</w:t>
      </w:r>
      <w:r w:rsidR="00B532D3">
        <w:rPr>
          <w:sz w:val="24"/>
          <w:szCs w:val="24"/>
        </w:rPr>
        <w:t>a</w:t>
      </w:r>
      <w:bookmarkStart w:id="0" w:name="_GoBack"/>
      <w:bookmarkEnd w:id="0"/>
      <w:r>
        <w:rPr>
          <w:sz w:val="24"/>
          <w:szCs w:val="24"/>
        </w:rPr>
        <w:t>n, Laura Huntley, and Jean Sweitzer.</w:t>
      </w:r>
    </w:p>
    <w:p w:rsidR="00904E48" w:rsidRDefault="00904E48" w:rsidP="00904E48">
      <w:pPr>
        <w:spacing w:after="0"/>
        <w:rPr>
          <w:sz w:val="24"/>
          <w:szCs w:val="24"/>
        </w:rPr>
      </w:pPr>
      <w:r>
        <w:rPr>
          <w:sz w:val="24"/>
          <w:szCs w:val="24"/>
        </w:rPr>
        <w:t>Guests: Jodi Geiger, Jim Webb and Jim Wold.</w:t>
      </w:r>
    </w:p>
    <w:tbl>
      <w:tblPr>
        <w:tblStyle w:val="TableGrid"/>
        <w:tblW w:w="0" w:type="auto"/>
        <w:tblLook w:val="04A0" w:firstRow="1" w:lastRow="0" w:firstColumn="1" w:lastColumn="0" w:noHBand="0" w:noVBand="1"/>
      </w:tblPr>
      <w:tblGrid>
        <w:gridCol w:w="2425"/>
        <w:gridCol w:w="9450"/>
        <w:gridCol w:w="2515"/>
      </w:tblGrid>
      <w:tr w:rsidR="0013477C" w:rsidTr="0034626B">
        <w:tc>
          <w:tcPr>
            <w:tcW w:w="2425" w:type="dxa"/>
            <w:shd w:val="clear" w:color="auto" w:fill="F7CAAC" w:themeFill="accent2" w:themeFillTint="66"/>
          </w:tcPr>
          <w:p w:rsidR="0013477C" w:rsidRPr="0013477C" w:rsidRDefault="0013477C" w:rsidP="00904E48">
            <w:pPr>
              <w:rPr>
                <w:b/>
                <w:sz w:val="24"/>
                <w:szCs w:val="24"/>
              </w:rPr>
            </w:pPr>
            <w:r>
              <w:rPr>
                <w:sz w:val="24"/>
                <w:szCs w:val="24"/>
              </w:rPr>
              <w:t xml:space="preserve">            </w:t>
            </w:r>
            <w:r>
              <w:rPr>
                <w:b/>
                <w:sz w:val="24"/>
                <w:szCs w:val="24"/>
              </w:rPr>
              <w:t>AGENDA</w:t>
            </w:r>
          </w:p>
        </w:tc>
        <w:tc>
          <w:tcPr>
            <w:tcW w:w="9450" w:type="dxa"/>
            <w:shd w:val="clear" w:color="auto" w:fill="F7CAAC" w:themeFill="accent2" w:themeFillTint="66"/>
          </w:tcPr>
          <w:p w:rsidR="0013477C" w:rsidRPr="0013477C" w:rsidRDefault="0013477C" w:rsidP="00904E48">
            <w:pPr>
              <w:rPr>
                <w:b/>
                <w:sz w:val="24"/>
                <w:szCs w:val="24"/>
              </w:rPr>
            </w:pPr>
            <w:r w:rsidRPr="0013477C">
              <w:rPr>
                <w:b/>
                <w:sz w:val="24"/>
                <w:szCs w:val="24"/>
              </w:rPr>
              <w:t xml:space="preserve">                                                  </w:t>
            </w:r>
            <w:r>
              <w:rPr>
                <w:b/>
                <w:sz w:val="24"/>
                <w:szCs w:val="24"/>
              </w:rPr>
              <w:t xml:space="preserve">    </w:t>
            </w:r>
            <w:r w:rsidRPr="0013477C">
              <w:rPr>
                <w:b/>
                <w:sz w:val="24"/>
                <w:szCs w:val="24"/>
              </w:rPr>
              <w:t xml:space="preserve">  DISCUSSION</w:t>
            </w:r>
          </w:p>
        </w:tc>
        <w:tc>
          <w:tcPr>
            <w:tcW w:w="2515" w:type="dxa"/>
            <w:shd w:val="clear" w:color="auto" w:fill="F7CAAC" w:themeFill="accent2" w:themeFillTint="66"/>
          </w:tcPr>
          <w:p w:rsidR="0013477C" w:rsidRPr="0013477C" w:rsidRDefault="0013477C" w:rsidP="0013477C">
            <w:pPr>
              <w:rPr>
                <w:b/>
                <w:sz w:val="24"/>
                <w:szCs w:val="24"/>
              </w:rPr>
            </w:pPr>
            <w:r>
              <w:rPr>
                <w:sz w:val="24"/>
                <w:szCs w:val="24"/>
              </w:rPr>
              <w:t xml:space="preserve">             </w:t>
            </w:r>
            <w:r w:rsidRPr="0013477C">
              <w:rPr>
                <w:b/>
                <w:sz w:val="24"/>
                <w:szCs w:val="24"/>
              </w:rPr>
              <w:t xml:space="preserve"> ACTION</w:t>
            </w:r>
          </w:p>
        </w:tc>
      </w:tr>
      <w:tr w:rsidR="0013477C" w:rsidTr="0013477C">
        <w:tc>
          <w:tcPr>
            <w:tcW w:w="2425" w:type="dxa"/>
          </w:tcPr>
          <w:p w:rsidR="0013477C" w:rsidRPr="0034626B" w:rsidRDefault="0034626B" w:rsidP="00904E48">
            <w:pPr>
              <w:rPr>
                <w:b/>
                <w:sz w:val="24"/>
                <w:szCs w:val="24"/>
              </w:rPr>
            </w:pPr>
            <w:r>
              <w:rPr>
                <w:b/>
                <w:sz w:val="24"/>
                <w:szCs w:val="24"/>
              </w:rPr>
              <w:t>Call to Order</w:t>
            </w:r>
          </w:p>
        </w:tc>
        <w:tc>
          <w:tcPr>
            <w:tcW w:w="9450" w:type="dxa"/>
          </w:tcPr>
          <w:p w:rsidR="0013477C" w:rsidRDefault="0034626B" w:rsidP="00904E48">
            <w:pPr>
              <w:rPr>
                <w:sz w:val="24"/>
                <w:szCs w:val="24"/>
              </w:rPr>
            </w:pPr>
            <w:r>
              <w:rPr>
                <w:sz w:val="24"/>
                <w:szCs w:val="24"/>
              </w:rPr>
              <w:t>The meeting was called to order by Dr. Garcia at 1:00PM.</w:t>
            </w:r>
          </w:p>
        </w:tc>
        <w:tc>
          <w:tcPr>
            <w:tcW w:w="2515" w:type="dxa"/>
          </w:tcPr>
          <w:p w:rsidR="0013477C" w:rsidRDefault="0034626B" w:rsidP="00904E48">
            <w:pPr>
              <w:rPr>
                <w:sz w:val="24"/>
                <w:szCs w:val="24"/>
              </w:rPr>
            </w:pPr>
            <w:r>
              <w:rPr>
                <w:sz w:val="24"/>
                <w:szCs w:val="24"/>
              </w:rPr>
              <w:t>No Action Required.</w:t>
            </w:r>
          </w:p>
        </w:tc>
      </w:tr>
      <w:tr w:rsidR="0013477C" w:rsidTr="0013477C">
        <w:tc>
          <w:tcPr>
            <w:tcW w:w="2425" w:type="dxa"/>
          </w:tcPr>
          <w:p w:rsidR="0013477C" w:rsidRDefault="0013477C" w:rsidP="00904E48">
            <w:pPr>
              <w:rPr>
                <w:sz w:val="24"/>
                <w:szCs w:val="24"/>
              </w:rPr>
            </w:pPr>
          </w:p>
          <w:p w:rsidR="0034626B" w:rsidRPr="0034626B" w:rsidRDefault="0034626B" w:rsidP="00904E48">
            <w:pPr>
              <w:rPr>
                <w:b/>
                <w:sz w:val="24"/>
                <w:szCs w:val="24"/>
              </w:rPr>
            </w:pPr>
            <w:r>
              <w:rPr>
                <w:b/>
                <w:sz w:val="24"/>
                <w:szCs w:val="24"/>
              </w:rPr>
              <w:t>Welcome and Dean’s Comments</w:t>
            </w:r>
          </w:p>
          <w:p w:rsidR="0034626B" w:rsidRPr="0034626B" w:rsidRDefault="0034626B" w:rsidP="00904E48">
            <w:pPr>
              <w:rPr>
                <w:b/>
                <w:sz w:val="24"/>
                <w:szCs w:val="24"/>
              </w:rPr>
            </w:pPr>
          </w:p>
          <w:p w:rsidR="0034626B" w:rsidRDefault="0034626B" w:rsidP="00904E48">
            <w:pPr>
              <w:rPr>
                <w:sz w:val="24"/>
                <w:szCs w:val="24"/>
              </w:rPr>
            </w:pPr>
          </w:p>
          <w:p w:rsidR="0034626B" w:rsidRDefault="0034626B" w:rsidP="00904E48">
            <w:pPr>
              <w:rPr>
                <w:sz w:val="24"/>
                <w:szCs w:val="24"/>
              </w:rPr>
            </w:pPr>
          </w:p>
          <w:p w:rsidR="0034626B" w:rsidRDefault="0034626B" w:rsidP="00904E48">
            <w:pPr>
              <w:rPr>
                <w:sz w:val="24"/>
                <w:szCs w:val="24"/>
              </w:rPr>
            </w:pPr>
          </w:p>
        </w:tc>
        <w:tc>
          <w:tcPr>
            <w:tcW w:w="9450" w:type="dxa"/>
          </w:tcPr>
          <w:p w:rsidR="0013477C" w:rsidRDefault="0034626B" w:rsidP="00904E48">
            <w:pPr>
              <w:rPr>
                <w:sz w:val="24"/>
                <w:szCs w:val="24"/>
              </w:rPr>
            </w:pPr>
            <w:r>
              <w:rPr>
                <w:sz w:val="24"/>
                <w:szCs w:val="24"/>
              </w:rPr>
              <w:t>Dr. Garcia welcomed the group and provided a number of college updates.</w:t>
            </w:r>
          </w:p>
          <w:p w:rsidR="0034626B" w:rsidRDefault="0034626B" w:rsidP="0034626B">
            <w:pPr>
              <w:pStyle w:val="ListParagraph"/>
              <w:numPr>
                <w:ilvl w:val="0"/>
                <w:numId w:val="1"/>
              </w:numPr>
              <w:rPr>
                <w:sz w:val="24"/>
                <w:szCs w:val="24"/>
              </w:rPr>
            </w:pPr>
            <w:r>
              <w:rPr>
                <w:sz w:val="24"/>
                <w:szCs w:val="24"/>
              </w:rPr>
              <w:t>We have received a State Appropriation which is about $56,000 less than the amount</w:t>
            </w:r>
          </w:p>
          <w:p w:rsidR="0034626B" w:rsidRDefault="0034626B" w:rsidP="0034626B">
            <w:pPr>
              <w:pStyle w:val="ListParagraph"/>
              <w:rPr>
                <w:sz w:val="24"/>
                <w:szCs w:val="24"/>
              </w:rPr>
            </w:pPr>
            <w:r>
              <w:rPr>
                <w:sz w:val="24"/>
                <w:szCs w:val="24"/>
              </w:rPr>
              <w:t>for last year.  Budget office is working with UF through the details. We are also working</w:t>
            </w:r>
          </w:p>
          <w:p w:rsidR="0034626B" w:rsidRDefault="0034626B" w:rsidP="0034626B">
            <w:pPr>
              <w:pStyle w:val="ListParagraph"/>
              <w:rPr>
                <w:sz w:val="24"/>
                <w:szCs w:val="24"/>
              </w:rPr>
            </w:pPr>
            <w:r>
              <w:rPr>
                <w:sz w:val="24"/>
                <w:szCs w:val="24"/>
              </w:rPr>
              <w:t>closely with all departments to review their budgets.</w:t>
            </w:r>
          </w:p>
          <w:p w:rsidR="0034626B" w:rsidRDefault="0034626B" w:rsidP="0034626B">
            <w:pPr>
              <w:pStyle w:val="ListParagraph"/>
              <w:numPr>
                <w:ilvl w:val="0"/>
                <w:numId w:val="1"/>
              </w:numPr>
              <w:rPr>
                <w:sz w:val="24"/>
                <w:szCs w:val="24"/>
              </w:rPr>
            </w:pPr>
            <w:r>
              <w:rPr>
                <w:sz w:val="24"/>
                <w:szCs w:val="24"/>
              </w:rPr>
              <w:t>According to Dr. Nelson discussions from the Board of Trustees Retreat went well;</w:t>
            </w:r>
          </w:p>
          <w:p w:rsidR="0034626B" w:rsidRDefault="00143824" w:rsidP="0034626B">
            <w:pPr>
              <w:pStyle w:val="ListParagraph"/>
              <w:rPr>
                <w:sz w:val="24"/>
                <w:szCs w:val="24"/>
              </w:rPr>
            </w:pPr>
            <w:r>
              <w:rPr>
                <w:sz w:val="24"/>
                <w:szCs w:val="24"/>
              </w:rPr>
              <w:t>q</w:t>
            </w:r>
            <w:r w:rsidR="0034626B">
              <w:rPr>
                <w:sz w:val="24"/>
                <w:szCs w:val="24"/>
              </w:rPr>
              <w:t>uite a bit of time</w:t>
            </w:r>
            <w:r>
              <w:rPr>
                <w:sz w:val="24"/>
                <w:szCs w:val="24"/>
              </w:rPr>
              <w:t xml:space="preserve"> was devoted to the Health Science Center and the Board</w:t>
            </w:r>
          </w:p>
          <w:p w:rsidR="00143824" w:rsidRDefault="00143824" w:rsidP="0034626B">
            <w:pPr>
              <w:pStyle w:val="ListParagraph"/>
              <w:rPr>
                <w:sz w:val="24"/>
                <w:szCs w:val="24"/>
              </w:rPr>
            </w:pPr>
            <w:r>
              <w:rPr>
                <w:sz w:val="24"/>
                <w:szCs w:val="24"/>
              </w:rPr>
              <w:t>overall supported the concept of a new building for Dentistry.  Financing model</w:t>
            </w:r>
          </w:p>
          <w:p w:rsidR="00143824" w:rsidRDefault="00143824" w:rsidP="0034626B">
            <w:pPr>
              <w:pStyle w:val="ListParagraph"/>
              <w:rPr>
                <w:sz w:val="24"/>
                <w:szCs w:val="24"/>
              </w:rPr>
            </w:pPr>
            <w:r>
              <w:rPr>
                <w:sz w:val="24"/>
                <w:szCs w:val="24"/>
              </w:rPr>
              <w:t>for the new building is unclear at this point.</w:t>
            </w:r>
          </w:p>
          <w:p w:rsidR="00143824" w:rsidRDefault="00143824" w:rsidP="00143824">
            <w:pPr>
              <w:pStyle w:val="ListParagraph"/>
              <w:numPr>
                <w:ilvl w:val="0"/>
                <w:numId w:val="1"/>
              </w:numPr>
              <w:rPr>
                <w:sz w:val="24"/>
                <w:szCs w:val="24"/>
              </w:rPr>
            </w:pPr>
            <w:r>
              <w:rPr>
                <w:sz w:val="24"/>
                <w:szCs w:val="24"/>
              </w:rPr>
              <w:t>A change of the College Constitution and Bylaws has been requested to establish</w:t>
            </w:r>
          </w:p>
          <w:p w:rsidR="00143824" w:rsidRDefault="00143824" w:rsidP="00143824">
            <w:pPr>
              <w:pStyle w:val="ListParagraph"/>
              <w:rPr>
                <w:sz w:val="24"/>
                <w:szCs w:val="24"/>
              </w:rPr>
            </w:pPr>
            <w:r>
              <w:rPr>
                <w:sz w:val="24"/>
                <w:szCs w:val="24"/>
              </w:rPr>
              <w:t>three new administrative committees.</w:t>
            </w:r>
          </w:p>
          <w:p w:rsidR="00143824" w:rsidRDefault="00143824" w:rsidP="00143824">
            <w:pPr>
              <w:pStyle w:val="ListParagraph"/>
              <w:numPr>
                <w:ilvl w:val="0"/>
                <w:numId w:val="1"/>
              </w:numPr>
              <w:rPr>
                <w:sz w:val="24"/>
                <w:szCs w:val="24"/>
              </w:rPr>
            </w:pPr>
            <w:r>
              <w:rPr>
                <w:sz w:val="24"/>
                <w:szCs w:val="24"/>
              </w:rPr>
              <w:t>First Committee:  Anesthesia.</w:t>
            </w:r>
          </w:p>
          <w:p w:rsidR="00143824" w:rsidRDefault="00143824" w:rsidP="00143824">
            <w:pPr>
              <w:pStyle w:val="ListParagraph"/>
              <w:rPr>
                <w:sz w:val="24"/>
                <w:szCs w:val="24"/>
              </w:rPr>
            </w:pPr>
            <w:r>
              <w:rPr>
                <w:sz w:val="24"/>
                <w:szCs w:val="24"/>
              </w:rPr>
              <w:t>This has been a working group for some time but we need to formalize it within</w:t>
            </w:r>
          </w:p>
          <w:p w:rsidR="00143824" w:rsidRDefault="00143824" w:rsidP="00143824">
            <w:pPr>
              <w:rPr>
                <w:sz w:val="24"/>
                <w:szCs w:val="24"/>
              </w:rPr>
            </w:pPr>
            <w:r>
              <w:rPr>
                <w:sz w:val="24"/>
                <w:szCs w:val="24"/>
              </w:rPr>
              <w:t xml:space="preserve">             </w:t>
            </w:r>
            <w:r w:rsidRPr="00143824">
              <w:rPr>
                <w:sz w:val="24"/>
                <w:szCs w:val="24"/>
              </w:rPr>
              <w:t xml:space="preserve"> the Constitution and Bylaws and need to lay out the process and expectations</w:t>
            </w:r>
            <w:r w:rsidR="008A773C">
              <w:rPr>
                <w:sz w:val="24"/>
                <w:szCs w:val="24"/>
              </w:rPr>
              <w:t>.</w:t>
            </w:r>
          </w:p>
          <w:p w:rsidR="008A773C" w:rsidRDefault="008A773C" w:rsidP="008A773C">
            <w:pPr>
              <w:pStyle w:val="ListParagraph"/>
              <w:numPr>
                <w:ilvl w:val="0"/>
                <w:numId w:val="1"/>
              </w:numPr>
              <w:rPr>
                <w:sz w:val="24"/>
                <w:szCs w:val="24"/>
              </w:rPr>
            </w:pPr>
            <w:r>
              <w:rPr>
                <w:sz w:val="24"/>
                <w:szCs w:val="24"/>
              </w:rPr>
              <w:t>Second:  Peer Review Committee.</w:t>
            </w:r>
          </w:p>
          <w:p w:rsidR="008A773C" w:rsidRDefault="008A773C" w:rsidP="008A773C">
            <w:pPr>
              <w:pStyle w:val="ListParagraph"/>
              <w:rPr>
                <w:sz w:val="24"/>
                <w:szCs w:val="24"/>
              </w:rPr>
            </w:pPr>
            <w:r>
              <w:rPr>
                <w:sz w:val="24"/>
                <w:szCs w:val="24"/>
              </w:rPr>
              <w:t>Sets forth a new strategy to look at overall process improvement as well as outcome</w:t>
            </w:r>
          </w:p>
          <w:p w:rsidR="008A773C" w:rsidRDefault="008A773C" w:rsidP="008A773C">
            <w:pPr>
              <w:pStyle w:val="ListParagraph"/>
              <w:rPr>
                <w:sz w:val="24"/>
                <w:szCs w:val="24"/>
              </w:rPr>
            </w:pPr>
            <w:r>
              <w:rPr>
                <w:sz w:val="24"/>
                <w:szCs w:val="24"/>
              </w:rPr>
              <w:t>measures.  This will not supplant any of the other efforts we have, but work parallel</w:t>
            </w:r>
          </w:p>
          <w:p w:rsidR="008A773C" w:rsidRDefault="008A773C" w:rsidP="008A773C">
            <w:pPr>
              <w:pStyle w:val="ListParagraph"/>
              <w:rPr>
                <w:sz w:val="24"/>
                <w:szCs w:val="24"/>
              </w:rPr>
            </w:pPr>
            <w:r>
              <w:rPr>
                <w:sz w:val="24"/>
                <w:szCs w:val="24"/>
              </w:rPr>
              <w:t xml:space="preserve">without overlapping or taking over any of the functions within the </w:t>
            </w:r>
            <w:r w:rsidR="00FA0A0C">
              <w:rPr>
                <w:sz w:val="24"/>
                <w:szCs w:val="24"/>
              </w:rPr>
              <w:t>CAQA.</w:t>
            </w:r>
          </w:p>
          <w:p w:rsidR="00FA0A0C" w:rsidRDefault="00FA0A0C" w:rsidP="00FA0A0C">
            <w:pPr>
              <w:pStyle w:val="ListParagraph"/>
              <w:numPr>
                <w:ilvl w:val="0"/>
                <w:numId w:val="1"/>
              </w:numPr>
              <w:rPr>
                <w:sz w:val="24"/>
                <w:szCs w:val="24"/>
              </w:rPr>
            </w:pPr>
            <w:r>
              <w:rPr>
                <w:sz w:val="24"/>
                <w:szCs w:val="24"/>
              </w:rPr>
              <w:t>Third: Scope of Practice to address requests to carry out procedures not generally</w:t>
            </w:r>
          </w:p>
          <w:p w:rsidR="00307CB4" w:rsidRDefault="00FA0A0C" w:rsidP="00307CB4">
            <w:pPr>
              <w:pStyle w:val="ListParagraph"/>
              <w:rPr>
                <w:sz w:val="24"/>
                <w:szCs w:val="24"/>
              </w:rPr>
            </w:pPr>
            <w:r>
              <w:rPr>
                <w:sz w:val="24"/>
                <w:szCs w:val="24"/>
              </w:rPr>
              <w:t>part of dental education and training (e.g. botox).</w:t>
            </w:r>
          </w:p>
          <w:p w:rsidR="00307CB4" w:rsidRDefault="00307CB4" w:rsidP="00307CB4">
            <w:pPr>
              <w:rPr>
                <w:sz w:val="24"/>
                <w:szCs w:val="24"/>
              </w:rPr>
            </w:pPr>
            <w:r>
              <w:rPr>
                <w:sz w:val="24"/>
                <w:szCs w:val="24"/>
              </w:rPr>
              <w:t>Have advanced our conversation and our plans to start a new AGB program in Osceola County.</w:t>
            </w:r>
          </w:p>
          <w:p w:rsidR="00307CB4" w:rsidRDefault="00307CB4" w:rsidP="00307CB4">
            <w:pPr>
              <w:pStyle w:val="ListParagraph"/>
              <w:numPr>
                <w:ilvl w:val="0"/>
                <w:numId w:val="1"/>
              </w:numPr>
              <w:rPr>
                <w:sz w:val="24"/>
                <w:szCs w:val="24"/>
              </w:rPr>
            </w:pPr>
            <w:r>
              <w:rPr>
                <w:sz w:val="24"/>
                <w:szCs w:val="24"/>
              </w:rPr>
              <w:t>Approached by Dr. Belinda Johnson-Cornett, CEO of Osceola Community Health.</w:t>
            </w:r>
          </w:p>
          <w:p w:rsidR="00307CB4" w:rsidRDefault="00307CB4" w:rsidP="00307CB4">
            <w:pPr>
              <w:pStyle w:val="ListParagraph"/>
              <w:numPr>
                <w:ilvl w:val="0"/>
                <w:numId w:val="1"/>
              </w:numPr>
              <w:rPr>
                <w:sz w:val="24"/>
                <w:szCs w:val="24"/>
              </w:rPr>
            </w:pPr>
            <w:r>
              <w:rPr>
                <w:sz w:val="24"/>
                <w:szCs w:val="24"/>
              </w:rPr>
              <w:t>They have 4 or 5 locations in Osceola County.</w:t>
            </w:r>
          </w:p>
          <w:p w:rsidR="00307CB4" w:rsidRDefault="00307CB4" w:rsidP="00307CB4">
            <w:pPr>
              <w:pStyle w:val="ListParagraph"/>
              <w:numPr>
                <w:ilvl w:val="0"/>
                <w:numId w:val="1"/>
              </w:numPr>
              <w:rPr>
                <w:sz w:val="24"/>
                <w:szCs w:val="24"/>
              </w:rPr>
            </w:pPr>
            <w:r>
              <w:rPr>
                <w:sz w:val="24"/>
                <w:szCs w:val="24"/>
              </w:rPr>
              <w:t>Strong focus on maternal and child health.</w:t>
            </w:r>
          </w:p>
          <w:p w:rsidR="00307CB4" w:rsidRDefault="00307CB4" w:rsidP="00307CB4">
            <w:pPr>
              <w:pStyle w:val="ListParagraph"/>
              <w:numPr>
                <w:ilvl w:val="0"/>
                <w:numId w:val="1"/>
              </w:numPr>
              <w:rPr>
                <w:sz w:val="24"/>
                <w:szCs w:val="24"/>
              </w:rPr>
            </w:pPr>
            <w:r>
              <w:rPr>
                <w:sz w:val="24"/>
                <w:szCs w:val="24"/>
              </w:rPr>
              <w:t>They are an FHQ&amp;C so have more favorable price structure.</w:t>
            </w:r>
          </w:p>
          <w:p w:rsidR="00BE1540" w:rsidRPr="00307CB4" w:rsidRDefault="00307CB4" w:rsidP="00BE1540">
            <w:pPr>
              <w:pStyle w:val="ListParagraph"/>
              <w:numPr>
                <w:ilvl w:val="0"/>
                <w:numId w:val="1"/>
              </w:numPr>
              <w:rPr>
                <w:sz w:val="24"/>
                <w:szCs w:val="24"/>
              </w:rPr>
            </w:pPr>
            <w:r>
              <w:rPr>
                <w:sz w:val="24"/>
                <w:szCs w:val="24"/>
              </w:rPr>
              <w:t>We have to go to CODA for permission to accredit a new program.</w:t>
            </w:r>
          </w:p>
        </w:tc>
        <w:tc>
          <w:tcPr>
            <w:tcW w:w="2515" w:type="dxa"/>
          </w:tcPr>
          <w:p w:rsidR="0013477C" w:rsidRDefault="0013477C" w:rsidP="00904E48">
            <w:pPr>
              <w:rPr>
                <w:sz w:val="24"/>
                <w:szCs w:val="24"/>
              </w:rPr>
            </w:pPr>
          </w:p>
        </w:tc>
      </w:tr>
    </w:tbl>
    <w:p w:rsidR="00021679" w:rsidRDefault="00021679" w:rsidP="00021679">
      <w:pPr>
        <w:spacing w:after="0"/>
        <w:rPr>
          <w:b/>
          <w:sz w:val="24"/>
          <w:szCs w:val="24"/>
        </w:rPr>
      </w:pPr>
      <w:r>
        <w:rPr>
          <w:b/>
          <w:sz w:val="24"/>
          <w:szCs w:val="24"/>
        </w:rPr>
        <w:lastRenderedPageBreak/>
        <w:t>MINUTES:  Faculty Associates, Inc. – Page 2.</w:t>
      </w:r>
    </w:p>
    <w:p w:rsidR="00021679" w:rsidRDefault="00021679" w:rsidP="00021679">
      <w:pPr>
        <w:spacing w:after="0"/>
        <w:rPr>
          <w:b/>
          <w:sz w:val="24"/>
          <w:szCs w:val="24"/>
        </w:rPr>
      </w:pPr>
      <w:r>
        <w:rPr>
          <w:b/>
          <w:sz w:val="24"/>
          <w:szCs w:val="24"/>
        </w:rPr>
        <w:t>Board of Directors</w:t>
      </w:r>
    </w:p>
    <w:p w:rsidR="00021679" w:rsidRDefault="00021679" w:rsidP="00021679">
      <w:pPr>
        <w:spacing w:after="0"/>
        <w:rPr>
          <w:b/>
          <w:sz w:val="24"/>
          <w:szCs w:val="24"/>
        </w:rPr>
      </w:pPr>
      <w:r>
        <w:rPr>
          <w:b/>
          <w:sz w:val="24"/>
          <w:szCs w:val="24"/>
        </w:rPr>
        <w:t>Monday, June 10, 2019</w:t>
      </w:r>
    </w:p>
    <w:p w:rsidR="00021679" w:rsidRDefault="00021679" w:rsidP="00021679">
      <w:pPr>
        <w:spacing w:after="0"/>
        <w:rPr>
          <w:b/>
          <w:sz w:val="24"/>
          <w:szCs w:val="24"/>
        </w:rPr>
      </w:pPr>
      <w:r>
        <w:rPr>
          <w:b/>
          <w:sz w:val="24"/>
          <w:szCs w:val="24"/>
        </w:rPr>
        <w:t>Time: 1:00pm-1:50pm</w:t>
      </w:r>
    </w:p>
    <w:p w:rsidR="00021679" w:rsidRDefault="00021679" w:rsidP="00021679">
      <w:pPr>
        <w:spacing w:after="0"/>
        <w:rPr>
          <w:b/>
          <w:sz w:val="24"/>
          <w:szCs w:val="24"/>
        </w:rPr>
      </w:pPr>
      <w:r>
        <w:rPr>
          <w:b/>
          <w:sz w:val="24"/>
          <w:szCs w:val="24"/>
        </w:rPr>
        <w:t>Location: D4-16</w:t>
      </w:r>
    </w:p>
    <w:tbl>
      <w:tblPr>
        <w:tblStyle w:val="TableGrid"/>
        <w:tblW w:w="0" w:type="auto"/>
        <w:tblLook w:val="04A0" w:firstRow="1" w:lastRow="0" w:firstColumn="1" w:lastColumn="0" w:noHBand="0" w:noVBand="1"/>
      </w:tblPr>
      <w:tblGrid>
        <w:gridCol w:w="2425"/>
        <w:gridCol w:w="9540"/>
        <w:gridCol w:w="2425"/>
      </w:tblGrid>
      <w:tr w:rsidR="00835632" w:rsidTr="00835632">
        <w:tc>
          <w:tcPr>
            <w:tcW w:w="2425" w:type="dxa"/>
            <w:shd w:val="clear" w:color="auto" w:fill="F7CAAC" w:themeFill="accent2" w:themeFillTint="66"/>
          </w:tcPr>
          <w:p w:rsidR="00835632" w:rsidRDefault="00835632" w:rsidP="00021679">
            <w:pPr>
              <w:rPr>
                <w:b/>
                <w:sz w:val="24"/>
                <w:szCs w:val="24"/>
              </w:rPr>
            </w:pPr>
            <w:r>
              <w:rPr>
                <w:b/>
                <w:sz w:val="24"/>
                <w:szCs w:val="24"/>
              </w:rPr>
              <w:t xml:space="preserve">         AGENDA</w:t>
            </w:r>
          </w:p>
        </w:tc>
        <w:tc>
          <w:tcPr>
            <w:tcW w:w="9540" w:type="dxa"/>
            <w:shd w:val="clear" w:color="auto" w:fill="F7CAAC" w:themeFill="accent2" w:themeFillTint="66"/>
          </w:tcPr>
          <w:p w:rsidR="00835632" w:rsidRDefault="00835632" w:rsidP="00021679">
            <w:pPr>
              <w:rPr>
                <w:b/>
                <w:sz w:val="24"/>
                <w:szCs w:val="24"/>
              </w:rPr>
            </w:pPr>
            <w:r>
              <w:rPr>
                <w:b/>
                <w:sz w:val="24"/>
                <w:szCs w:val="24"/>
              </w:rPr>
              <w:t xml:space="preserve">                                                           DISCUSSION</w:t>
            </w:r>
          </w:p>
        </w:tc>
        <w:tc>
          <w:tcPr>
            <w:tcW w:w="2425" w:type="dxa"/>
            <w:shd w:val="clear" w:color="auto" w:fill="F7CAAC" w:themeFill="accent2" w:themeFillTint="66"/>
          </w:tcPr>
          <w:p w:rsidR="00835632" w:rsidRDefault="00835632" w:rsidP="00021679">
            <w:pPr>
              <w:rPr>
                <w:b/>
                <w:sz w:val="24"/>
                <w:szCs w:val="24"/>
              </w:rPr>
            </w:pPr>
            <w:r>
              <w:rPr>
                <w:b/>
                <w:sz w:val="24"/>
                <w:szCs w:val="24"/>
              </w:rPr>
              <w:t xml:space="preserve">         ACTION</w:t>
            </w:r>
          </w:p>
        </w:tc>
      </w:tr>
      <w:tr w:rsidR="00835632" w:rsidTr="00835632">
        <w:tc>
          <w:tcPr>
            <w:tcW w:w="2425" w:type="dxa"/>
          </w:tcPr>
          <w:p w:rsidR="00835632" w:rsidRDefault="00835632" w:rsidP="00021679">
            <w:pPr>
              <w:rPr>
                <w:b/>
                <w:sz w:val="24"/>
                <w:szCs w:val="24"/>
              </w:rPr>
            </w:pPr>
            <w:r>
              <w:rPr>
                <w:b/>
                <w:sz w:val="24"/>
                <w:szCs w:val="24"/>
              </w:rPr>
              <w:t>Approval of March</w:t>
            </w:r>
          </w:p>
          <w:p w:rsidR="00835632" w:rsidRDefault="00835632" w:rsidP="00021679">
            <w:pPr>
              <w:rPr>
                <w:b/>
                <w:sz w:val="24"/>
                <w:szCs w:val="24"/>
              </w:rPr>
            </w:pPr>
            <w:r>
              <w:rPr>
                <w:b/>
                <w:sz w:val="24"/>
                <w:szCs w:val="24"/>
              </w:rPr>
              <w:t xml:space="preserve">            Minutes </w:t>
            </w:r>
          </w:p>
        </w:tc>
        <w:tc>
          <w:tcPr>
            <w:tcW w:w="9540" w:type="dxa"/>
          </w:tcPr>
          <w:p w:rsidR="00835632" w:rsidRDefault="00835632" w:rsidP="00021679">
            <w:pPr>
              <w:rPr>
                <w:sz w:val="24"/>
                <w:szCs w:val="24"/>
              </w:rPr>
            </w:pPr>
            <w:r>
              <w:rPr>
                <w:sz w:val="24"/>
                <w:szCs w:val="24"/>
              </w:rPr>
              <w:t>Dr. Migliorati had one correction on page 3 which should indicate that redos are handled</w:t>
            </w:r>
          </w:p>
          <w:p w:rsidR="00835632" w:rsidRDefault="00835632" w:rsidP="00021679">
            <w:pPr>
              <w:rPr>
                <w:sz w:val="24"/>
                <w:szCs w:val="24"/>
              </w:rPr>
            </w:pPr>
            <w:r>
              <w:rPr>
                <w:sz w:val="24"/>
                <w:szCs w:val="24"/>
              </w:rPr>
              <w:t>In graduate prosthodontics primarily, not Faculty Practice.</w:t>
            </w:r>
          </w:p>
          <w:p w:rsidR="00FD1485" w:rsidRDefault="00FD1485" w:rsidP="00021679">
            <w:pPr>
              <w:rPr>
                <w:sz w:val="24"/>
                <w:szCs w:val="24"/>
              </w:rPr>
            </w:pPr>
            <w:r>
              <w:rPr>
                <w:sz w:val="24"/>
                <w:szCs w:val="24"/>
              </w:rPr>
              <w:t>Dr. Hardeman moved to accept the minutes with this correction, Dr. Migliorati 2</w:t>
            </w:r>
            <w:r w:rsidRPr="00FD1485">
              <w:rPr>
                <w:sz w:val="24"/>
                <w:szCs w:val="24"/>
                <w:vertAlign w:val="superscript"/>
              </w:rPr>
              <w:t>nd</w:t>
            </w:r>
            <w:r>
              <w:rPr>
                <w:sz w:val="24"/>
                <w:szCs w:val="24"/>
              </w:rPr>
              <w:t>.</w:t>
            </w:r>
          </w:p>
          <w:p w:rsidR="00FD1485" w:rsidRPr="00835632" w:rsidRDefault="00FD1485" w:rsidP="00021679">
            <w:pPr>
              <w:rPr>
                <w:sz w:val="24"/>
                <w:szCs w:val="24"/>
              </w:rPr>
            </w:pPr>
            <w:r>
              <w:rPr>
                <w:sz w:val="24"/>
                <w:szCs w:val="24"/>
              </w:rPr>
              <w:t>The minutes were approved unanimously as amended.</w:t>
            </w:r>
          </w:p>
        </w:tc>
        <w:tc>
          <w:tcPr>
            <w:tcW w:w="2425" w:type="dxa"/>
          </w:tcPr>
          <w:p w:rsidR="00835632" w:rsidRDefault="00835632" w:rsidP="00021679">
            <w:pPr>
              <w:rPr>
                <w:b/>
                <w:sz w:val="24"/>
                <w:szCs w:val="24"/>
              </w:rPr>
            </w:pPr>
          </w:p>
        </w:tc>
      </w:tr>
      <w:tr w:rsidR="00835632" w:rsidTr="00835632">
        <w:tc>
          <w:tcPr>
            <w:tcW w:w="2425" w:type="dxa"/>
          </w:tcPr>
          <w:p w:rsidR="00022EF9" w:rsidRDefault="00835632" w:rsidP="00022EF9">
            <w:pPr>
              <w:rPr>
                <w:b/>
                <w:sz w:val="24"/>
                <w:szCs w:val="24"/>
              </w:rPr>
            </w:pPr>
            <w:r>
              <w:rPr>
                <w:b/>
                <w:sz w:val="24"/>
                <w:szCs w:val="24"/>
              </w:rPr>
              <w:t xml:space="preserve">       </w:t>
            </w:r>
            <w:r w:rsidR="00022EF9">
              <w:rPr>
                <w:b/>
                <w:sz w:val="24"/>
                <w:szCs w:val="24"/>
              </w:rPr>
              <w:t>Update on</w:t>
            </w:r>
          </w:p>
          <w:p w:rsidR="00835632" w:rsidRDefault="00022EF9" w:rsidP="00022EF9">
            <w:pPr>
              <w:rPr>
                <w:b/>
                <w:sz w:val="24"/>
                <w:szCs w:val="24"/>
              </w:rPr>
            </w:pPr>
            <w:r>
              <w:rPr>
                <w:b/>
                <w:sz w:val="24"/>
                <w:szCs w:val="24"/>
              </w:rPr>
              <w:t xml:space="preserve">        Medicaid</w:t>
            </w:r>
          </w:p>
        </w:tc>
        <w:tc>
          <w:tcPr>
            <w:tcW w:w="9540" w:type="dxa"/>
          </w:tcPr>
          <w:p w:rsidR="00835632" w:rsidRDefault="00913CF1" w:rsidP="00021679">
            <w:pPr>
              <w:rPr>
                <w:sz w:val="24"/>
                <w:szCs w:val="24"/>
              </w:rPr>
            </w:pPr>
            <w:r>
              <w:rPr>
                <w:sz w:val="24"/>
                <w:szCs w:val="24"/>
              </w:rPr>
              <w:t>Jean Sweitzer reported that we are making progress with Medicaid Managed Care Plans.  A transition from seven to three plans (MCNA, DentaQuest and Liberty) occurred on Jan 1, 2019.</w:t>
            </w:r>
          </w:p>
          <w:p w:rsidR="00B40290" w:rsidRDefault="00B40290" w:rsidP="00B40290">
            <w:pPr>
              <w:pStyle w:val="ListParagraph"/>
              <w:numPr>
                <w:ilvl w:val="0"/>
                <w:numId w:val="2"/>
              </w:numPr>
              <w:rPr>
                <w:sz w:val="24"/>
                <w:szCs w:val="24"/>
              </w:rPr>
            </w:pPr>
            <w:r>
              <w:rPr>
                <w:sz w:val="24"/>
                <w:szCs w:val="24"/>
              </w:rPr>
              <w:t>Issues have been resolved with MCNA.  They agreed that they will continue to not require preauthorizations and also eliminated the need for any internal referral process within our entire practice.</w:t>
            </w:r>
          </w:p>
          <w:p w:rsidR="00B40290" w:rsidRDefault="00B40290" w:rsidP="00B40290">
            <w:pPr>
              <w:pStyle w:val="ListParagraph"/>
              <w:numPr>
                <w:ilvl w:val="0"/>
                <w:numId w:val="2"/>
              </w:numPr>
              <w:rPr>
                <w:sz w:val="24"/>
                <w:szCs w:val="24"/>
              </w:rPr>
            </w:pPr>
            <w:r>
              <w:rPr>
                <w:sz w:val="24"/>
                <w:szCs w:val="24"/>
              </w:rPr>
              <w:t>After several meetings with Liberty they have agreed to drop the internal referral process and agreed to wave the pre authorizations.  Dr. Hardeman pointed out that we have to make sure information gets to all involved in the process.</w:t>
            </w:r>
          </w:p>
          <w:p w:rsidR="004B137A" w:rsidRDefault="004B137A" w:rsidP="004B137A">
            <w:pPr>
              <w:pStyle w:val="ListParagraph"/>
              <w:rPr>
                <w:sz w:val="24"/>
                <w:szCs w:val="24"/>
              </w:rPr>
            </w:pPr>
          </w:p>
          <w:p w:rsidR="004B137A" w:rsidRDefault="004B137A" w:rsidP="004B137A">
            <w:pPr>
              <w:rPr>
                <w:sz w:val="24"/>
                <w:szCs w:val="24"/>
              </w:rPr>
            </w:pPr>
            <w:r>
              <w:rPr>
                <w:sz w:val="24"/>
                <w:szCs w:val="24"/>
              </w:rPr>
              <w:t>Dr. Migliorati stated that Medicaid has a rule that they will not pay for treatment that has been rendered within the past three years.</w:t>
            </w:r>
          </w:p>
          <w:p w:rsidR="004B137A" w:rsidRDefault="00A4348B" w:rsidP="004B137A">
            <w:pPr>
              <w:pStyle w:val="ListParagraph"/>
              <w:numPr>
                <w:ilvl w:val="0"/>
                <w:numId w:val="3"/>
              </w:numPr>
              <w:rPr>
                <w:sz w:val="24"/>
                <w:szCs w:val="24"/>
              </w:rPr>
            </w:pPr>
            <w:r>
              <w:rPr>
                <w:sz w:val="24"/>
                <w:szCs w:val="24"/>
              </w:rPr>
              <w:t>This frequency exclusion can be difficult to identify.  In these cases, we rely on the Explanation of Benefits (EOB) and should also have an Advanced Benefit Notification</w:t>
            </w:r>
          </w:p>
          <w:p w:rsidR="00A4348B" w:rsidRDefault="00A4348B" w:rsidP="00A4348B">
            <w:pPr>
              <w:pStyle w:val="ListParagraph"/>
              <w:rPr>
                <w:sz w:val="24"/>
                <w:szCs w:val="24"/>
              </w:rPr>
            </w:pPr>
            <w:r>
              <w:rPr>
                <w:sz w:val="24"/>
                <w:szCs w:val="24"/>
              </w:rPr>
              <w:t xml:space="preserve">(ABN) signed for the date and procedures that day.  </w:t>
            </w:r>
          </w:p>
          <w:p w:rsidR="00A4348B" w:rsidRDefault="00A4348B" w:rsidP="00A4348B">
            <w:pPr>
              <w:pStyle w:val="ListParagraph"/>
              <w:rPr>
                <w:sz w:val="24"/>
                <w:szCs w:val="24"/>
              </w:rPr>
            </w:pPr>
          </w:p>
          <w:p w:rsidR="004B137A" w:rsidRPr="004B137A" w:rsidRDefault="00A4348B" w:rsidP="00B501D4">
            <w:pPr>
              <w:rPr>
                <w:sz w:val="24"/>
                <w:szCs w:val="24"/>
              </w:rPr>
            </w:pPr>
            <w:r>
              <w:rPr>
                <w:sz w:val="24"/>
                <w:szCs w:val="24"/>
              </w:rPr>
              <w:t>Jean stated that Liberty has interest in doing some larger projects with the college.</w:t>
            </w:r>
          </w:p>
        </w:tc>
        <w:tc>
          <w:tcPr>
            <w:tcW w:w="2425" w:type="dxa"/>
          </w:tcPr>
          <w:p w:rsidR="00835632" w:rsidRPr="00B40290" w:rsidRDefault="00B40290" w:rsidP="00021679">
            <w:pPr>
              <w:rPr>
                <w:sz w:val="24"/>
                <w:szCs w:val="24"/>
              </w:rPr>
            </w:pPr>
            <w:r>
              <w:rPr>
                <w:sz w:val="24"/>
                <w:szCs w:val="24"/>
              </w:rPr>
              <w:t>Once Liberty provides language in writing, it will be disseminated to appropriate individuals in the college.</w:t>
            </w:r>
          </w:p>
        </w:tc>
      </w:tr>
      <w:tr w:rsidR="00835632" w:rsidTr="00835632">
        <w:tc>
          <w:tcPr>
            <w:tcW w:w="2425" w:type="dxa"/>
          </w:tcPr>
          <w:p w:rsidR="00835632" w:rsidRDefault="00835632" w:rsidP="00021679">
            <w:pPr>
              <w:rPr>
                <w:b/>
                <w:sz w:val="24"/>
                <w:szCs w:val="24"/>
              </w:rPr>
            </w:pPr>
          </w:p>
          <w:p w:rsidR="00B501D4" w:rsidRDefault="00B501D4" w:rsidP="00021679">
            <w:pPr>
              <w:rPr>
                <w:b/>
                <w:sz w:val="24"/>
                <w:szCs w:val="24"/>
              </w:rPr>
            </w:pPr>
            <w:r>
              <w:rPr>
                <w:b/>
                <w:sz w:val="24"/>
                <w:szCs w:val="24"/>
              </w:rPr>
              <w:t>Financial Report</w:t>
            </w:r>
          </w:p>
          <w:p w:rsidR="00B501D4" w:rsidRDefault="00B501D4" w:rsidP="00021679">
            <w:pPr>
              <w:rPr>
                <w:b/>
                <w:sz w:val="24"/>
                <w:szCs w:val="24"/>
              </w:rPr>
            </w:pPr>
            <w:r>
              <w:rPr>
                <w:b/>
                <w:sz w:val="24"/>
                <w:szCs w:val="24"/>
              </w:rPr>
              <w:t>Jean Sweitzer</w:t>
            </w:r>
          </w:p>
          <w:p w:rsidR="00B501D4" w:rsidRDefault="00B501D4" w:rsidP="00021679">
            <w:pPr>
              <w:rPr>
                <w:b/>
                <w:sz w:val="24"/>
                <w:szCs w:val="24"/>
              </w:rPr>
            </w:pPr>
          </w:p>
        </w:tc>
        <w:tc>
          <w:tcPr>
            <w:tcW w:w="9540" w:type="dxa"/>
          </w:tcPr>
          <w:p w:rsidR="00835632" w:rsidRPr="00B501D4" w:rsidRDefault="00B501D4" w:rsidP="00B501D4">
            <w:pPr>
              <w:pStyle w:val="ListParagraph"/>
              <w:numPr>
                <w:ilvl w:val="0"/>
                <w:numId w:val="3"/>
              </w:numPr>
              <w:rPr>
                <w:b/>
                <w:sz w:val="24"/>
                <w:szCs w:val="24"/>
              </w:rPr>
            </w:pPr>
            <w:r>
              <w:rPr>
                <w:sz w:val="24"/>
                <w:szCs w:val="24"/>
              </w:rPr>
              <w:t>Jean Sweitzer presented the financial overview to the Board through April 2019.  Clinical revenues are up slightly ($830,000) about 5%.  Contract and GME revenues</w:t>
            </w:r>
          </w:p>
          <w:p w:rsidR="00B501D4" w:rsidRDefault="00B501D4" w:rsidP="00B501D4">
            <w:pPr>
              <w:pStyle w:val="ListParagraph"/>
              <w:rPr>
                <w:sz w:val="24"/>
                <w:szCs w:val="24"/>
              </w:rPr>
            </w:pPr>
            <w:r>
              <w:rPr>
                <w:sz w:val="24"/>
                <w:szCs w:val="24"/>
              </w:rPr>
              <w:t>are down YOY.</w:t>
            </w:r>
          </w:p>
          <w:p w:rsidR="00F8065C" w:rsidRPr="00F8065C" w:rsidRDefault="00F8065C" w:rsidP="00F8065C">
            <w:pPr>
              <w:pStyle w:val="ListParagraph"/>
              <w:numPr>
                <w:ilvl w:val="0"/>
                <w:numId w:val="3"/>
              </w:numPr>
              <w:rPr>
                <w:b/>
                <w:sz w:val="24"/>
                <w:szCs w:val="24"/>
              </w:rPr>
            </w:pPr>
            <w:r>
              <w:rPr>
                <w:sz w:val="24"/>
                <w:szCs w:val="24"/>
              </w:rPr>
              <w:t>Naples moved on January 1, 2019 from HealthCare Network of Sothwest Florida to</w:t>
            </w:r>
          </w:p>
          <w:p w:rsidR="00F8065C" w:rsidRDefault="00F8065C" w:rsidP="00F8065C">
            <w:pPr>
              <w:pStyle w:val="ListParagraph"/>
              <w:rPr>
                <w:sz w:val="24"/>
                <w:szCs w:val="24"/>
              </w:rPr>
            </w:pPr>
            <w:r>
              <w:rPr>
                <w:sz w:val="24"/>
                <w:szCs w:val="24"/>
              </w:rPr>
              <w:t>Management by the college, so instead of getting contract revenue we are now collecting clinical revenue from that clinic.</w:t>
            </w:r>
            <w:r w:rsidR="00CE0FF8">
              <w:rPr>
                <w:sz w:val="24"/>
                <w:szCs w:val="24"/>
              </w:rPr>
              <w:t xml:space="preserve">  We have missed a February contract payment since that transition reducing contract revenue by about $250,000.</w:t>
            </w:r>
          </w:p>
          <w:p w:rsidR="00CE0FF8" w:rsidRPr="00CE0FF8" w:rsidRDefault="00CE0FF8" w:rsidP="0038117B">
            <w:pPr>
              <w:pStyle w:val="ListParagraph"/>
              <w:numPr>
                <w:ilvl w:val="0"/>
                <w:numId w:val="3"/>
              </w:numPr>
              <w:rPr>
                <w:b/>
                <w:sz w:val="24"/>
                <w:szCs w:val="24"/>
              </w:rPr>
            </w:pPr>
            <w:r>
              <w:rPr>
                <w:sz w:val="24"/>
                <w:szCs w:val="24"/>
              </w:rPr>
              <w:t>When we get to end of year there will be an increase in clinical revenues that should correspond to Naples and some decline in the contract revenue.</w:t>
            </w:r>
          </w:p>
        </w:tc>
        <w:tc>
          <w:tcPr>
            <w:tcW w:w="2425" w:type="dxa"/>
          </w:tcPr>
          <w:p w:rsidR="00835632" w:rsidRDefault="00835632" w:rsidP="00021679">
            <w:pPr>
              <w:rPr>
                <w:b/>
                <w:sz w:val="24"/>
                <w:szCs w:val="24"/>
              </w:rPr>
            </w:pPr>
          </w:p>
        </w:tc>
      </w:tr>
    </w:tbl>
    <w:p w:rsidR="006C653C" w:rsidRDefault="006C653C" w:rsidP="00021679">
      <w:pPr>
        <w:spacing w:after="0"/>
        <w:rPr>
          <w:b/>
          <w:sz w:val="24"/>
          <w:szCs w:val="24"/>
        </w:rPr>
      </w:pPr>
    </w:p>
    <w:p w:rsidR="0038117B" w:rsidRDefault="0038117B" w:rsidP="0038117B">
      <w:pPr>
        <w:spacing w:after="0"/>
        <w:rPr>
          <w:b/>
          <w:sz w:val="24"/>
          <w:szCs w:val="24"/>
        </w:rPr>
      </w:pPr>
      <w:r>
        <w:rPr>
          <w:b/>
          <w:sz w:val="24"/>
          <w:szCs w:val="24"/>
        </w:rPr>
        <w:lastRenderedPageBreak/>
        <w:t>MINUTES:  Faculty Associates, Inc. – Page 3.</w:t>
      </w:r>
    </w:p>
    <w:p w:rsidR="0038117B" w:rsidRDefault="0038117B" w:rsidP="0038117B">
      <w:pPr>
        <w:spacing w:after="0"/>
        <w:rPr>
          <w:b/>
          <w:sz w:val="24"/>
          <w:szCs w:val="24"/>
        </w:rPr>
      </w:pPr>
      <w:r>
        <w:rPr>
          <w:b/>
          <w:sz w:val="24"/>
          <w:szCs w:val="24"/>
        </w:rPr>
        <w:t>Board of Directors</w:t>
      </w:r>
    </w:p>
    <w:p w:rsidR="0038117B" w:rsidRDefault="0038117B" w:rsidP="0038117B">
      <w:pPr>
        <w:spacing w:after="0"/>
        <w:rPr>
          <w:b/>
          <w:sz w:val="24"/>
          <w:szCs w:val="24"/>
        </w:rPr>
      </w:pPr>
      <w:r>
        <w:rPr>
          <w:b/>
          <w:sz w:val="24"/>
          <w:szCs w:val="24"/>
        </w:rPr>
        <w:t>Monday, June 10, 2019</w:t>
      </w:r>
    </w:p>
    <w:p w:rsidR="0038117B" w:rsidRDefault="0038117B" w:rsidP="0038117B">
      <w:pPr>
        <w:spacing w:after="0"/>
        <w:rPr>
          <w:b/>
          <w:sz w:val="24"/>
          <w:szCs w:val="24"/>
        </w:rPr>
      </w:pPr>
      <w:r>
        <w:rPr>
          <w:b/>
          <w:sz w:val="24"/>
          <w:szCs w:val="24"/>
        </w:rPr>
        <w:t>Time: 1:00pm-1:50pm</w:t>
      </w:r>
    </w:p>
    <w:p w:rsidR="0038117B" w:rsidRDefault="0038117B" w:rsidP="0038117B">
      <w:pPr>
        <w:spacing w:after="0"/>
        <w:rPr>
          <w:b/>
          <w:sz w:val="24"/>
          <w:szCs w:val="24"/>
        </w:rPr>
      </w:pPr>
      <w:r>
        <w:rPr>
          <w:b/>
          <w:sz w:val="24"/>
          <w:szCs w:val="24"/>
        </w:rPr>
        <w:t>Location: D4-16</w:t>
      </w:r>
    </w:p>
    <w:tbl>
      <w:tblPr>
        <w:tblStyle w:val="TableGrid"/>
        <w:tblW w:w="0" w:type="auto"/>
        <w:tblLook w:val="04A0" w:firstRow="1" w:lastRow="0" w:firstColumn="1" w:lastColumn="0" w:noHBand="0" w:noVBand="1"/>
      </w:tblPr>
      <w:tblGrid>
        <w:gridCol w:w="2695"/>
        <w:gridCol w:w="9180"/>
        <w:gridCol w:w="2515"/>
      </w:tblGrid>
      <w:tr w:rsidR="0038117B" w:rsidTr="006F4C77">
        <w:tc>
          <w:tcPr>
            <w:tcW w:w="2695" w:type="dxa"/>
            <w:shd w:val="clear" w:color="auto" w:fill="F7CAAC" w:themeFill="accent2" w:themeFillTint="66"/>
          </w:tcPr>
          <w:p w:rsidR="0038117B" w:rsidRPr="0038117B" w:rsidRDefault="0038117B" w:rsidP="0038117B">
            <w:pPr>
              <w:rPr>
                <w:b/>
                <w:sz w:val="24"/>
                <w:szCs w:val="24"/>
              </w:rPr>
            </w:pPr>
            <w:r>
              <w:rPr>
                <w:sz w:val="24"/>
                <w:szCs w:val="24"/>
              </w:rPr>
              <w:t xml:space="preserve">              </w:t>
            </w:r>
            <w:r w:rsidRPr="0038117B">
              <w:rPr>
                <w:b/>
                <w:sz w:val="24"/>
                <w:szCs w:val="24"/>
              </w:rPr>
              <w:t>AGENDA</w:t>
            </w:r>
          </w:p>
        </w:tc>
        <w:tc>
          <w:tcPr>
            <w:tcW w:w="9180" w:type="dxa"/>
            <w:shd w:val="clear" w:color="auto" w:fill="F7CAAC" w:themeFill="accent2" w:themeFillTint="66"/>
          </w:tcPr>
          <w:p w:rsidR="0038117B" w:rsidRPr="0038117B" w:rsidRDefault="0038117B" w:rsidP="00904E48">
            <w:pPr>
              <w:rPr>
                <w:b/>
                <w:sz w:val="24"/>
                <w:szCs w:val="24"/>
              </w:rPr>
            </w:pPr>
            <w:r>
              <w:rPr>
                <w:sz w:val="24"/>
                <w:szCs w:val="24"/>
              </w:rPr>
              <w:t xml:space="preserve">                                                     </w:t>
            </w:r>
            <w:r w:rsidRPr="0038117B">
              <w:rPr>
                <w:b/>
                <w:sz w:val="24"/>
                <w:szCs w:val="24"/>
              </w:rPr>
              <w:t xml:space="preserve"> DISCUSSION</w:t>
            </w:r>
          </w:p>
        </w:tc>
        <w:tc>
          <w:tcPr>
            <w:tcW w:w="2515" w:type="dxa"/>
            <w:shd w:val="clear" w:color="auto" w:fill="F7CAAC" w:themeFill="accent2" w:themeFillTint="66"/>
          </w:tcPr>
          <w:p w:rsidR="0038117B" w:rsidRPr="0038117B" w:rsidRDefault="0038117B" w:rsidP="00904E48">
            <w:pPr>
              <w:rPr>
                <w:b/>
                <w:sz w:val="24"/>
                <w:szCs w:val="24"/>
              </w:rPr>
            </w:pPr>
            <w:r>
              <w:rPr>
                <w:sz w:val="24"/>
                <w:szCs w:val="24"/>
              </w:rPr>
              <w:t xml:space="preserve">             </w:t>
            </w:r>
            <w:r w:rsidRPr="0038117B">
              <w:rPr>
                <w:b/>
                <w:sz w:val="24"/>
                <w:szCs w:val="24"/>
              </w:rPr>
              <w:t xml:space="preserve">ACTION             </w:t>
            </w:r>
          </w:p>
        </w:tc>
      </w:tr>
      <w:tr w:rsidR="0038117B" w:rsidTr="0038117B">
        <w:tc>
          <w:tcPr>
            <w:tcW w:w="2695" w:type="dxa"/>
          </w:tcPr>
          <w:p w:rsidR="0038117B" w:rsidRDefault="0038117B" w:rsidP="00904E48">
            <w:pPr>
              <w:rPr>
                <w:b/>
                <w:sz w:val="24"/>
                <w:szCs w:val="24"/>
              </w:rPr>
            </w:pPr>
          </w:p>
          <w:p w:rsidR="006F4C77" w:rsidRPr="006F4C77" w:rsidRDefault="006F4C77" w:rsidP="00904E48">
            <w:pPr>
              <w:rPr>
                <w:b/>
                <w:sz w:val="24"/>
                <w:szCs w:val="24"/>
              </w:rPr>
            </w:pPr>
            <w:r>
              <w:rPr>
                <w:b/>
                <w:sz w:val="24"/>
                <w:szCs w:val="24"/>
              </w:rPr>
              <w:t>Financial Report Contd</w:t>
            </w:r>
          </w:p>
          <w:p w:rsidR="006F4C77" w:rsidRDefault="006F4C77" w:rsidP="00904E48">
            <w:pPr>
              <w:rPr>
                <w:sz w:val="24"/>
                <w:szCs w:val="24"/>
              </w:rPr>
            </w:pPr>
          </w:p>
        </w:tc>
        <w:tc>
          <w:tcPr>
            <w:tcW w:w="9180" w:type="dxa"/>
          </w:tcPr>
          <w:p w:rsidR="0038117B" w:rsidRDefault="008A1B4B" w:rsidP="008A1B4B">
            <w:pPr>
              <w:pStyle w:val="ListParagraph"/>
              <w:numPr>
                <w:ilvl w:val="0"/>
                <w:numId w:val="3"/>
              </w:numPr>
              <w:rPr>
                <w:sz w:val="24"/>
                <w:szCs w:val="24"/>
              </w:rPr>
            </w:pPr>
            <w:r>
              <w:rPr>
                <w:sz w:val="24"/>
                <w:szCs w:val="24"/>
              </w:rPr>
              <w:t>Total revenues are slightly ahead through April, 2019.</w:t>
            </w:r>
          </w:p>
          <w:p w:rsidR="008A1B4B" w:rsidRDefault="008A1B4B" w:rsidP="008A1B4B">
            <w:pPr>
              <w:rPr>
                <w:sz w:val="24"/>
                <w:szCs w:val="24"/>
              </w:rPr>
            </w:pPr>
            <w:r>
              <w:rPr>
                <w:sz w:val="24"/>
                <w:szCs w:val="24"/>
              </w:rPr>
              <w:t xml:space="preserve">Expenses are up YOY but we have done some </w:t>
            </w:r>
          </w:p>
          <w:p w:rsidR="008A1B4B" w:rsidRDefault="008A1B4B" w:rsidP="008A1B4B">
            <w:pPr>
              <w:pStyle w:val="ListParagraph"/>
              <w:numPr>
                <w:ilvl w:val="0"/>
                <w:numId w:val="3"/>
              </w:numPr>
              <w:rPr>
                <w:sz w:val="24"/>
                <w:szCs w:val="24"/>
              </w:rPr>
            </w:pPr>
            <w:r>
              <w:rPr>
                <w:sz w:val="24"/>
                <w:szCs w:val="24"/>
              </w:rPr>
              <w:t>distribution changes that will show up later in the year with a positive impact</w:t>
            </w:r>
          </w:p>
          <w:p w:rsidR="008A1B4B" w:rsidRDefault="008A1B4B" w:rsidP="008A1B4B">
            <w:pPr>
              <w:pStyle w:val="ListParagraph"/>
              <w:rPr>
                <w:sz w:val="24"/>
                <w:szCs w:val="24"/>
              </w:rPr>
            </w:pPr>
            <w:r>
              <w:rPr>
                <w:sz w:val="24"/>
                <w:szCs w:val="24"/>
              </w:rPr>
              <w:t>on the bottom line.  Increased perso</w:t>
            </w:r>
            <w:r w:rsidR="00CE5EC9">
              <w:rPr>
                <w:sz w:val="24"/>
                <w:szCs w:val="24"/>
              </w:rPr>
              <w:t>nnel expenses are up due to new hires</w:t>
            </w:r>
          </w:p>
          <w:p w:rsidR="00CE5EC9" w:rsidRDefault="00CE5EC9" w:rsidP="008A1B4B">
            <w:pPr>
              <w:pStyle w:val="ListParagraph"/>
              <w:rPr>
                <w:sz w:val="24"/>
                <w:szCs w:val="24"/>
              </w:rPr>
            </w:pPr>
            <w:r>
              <w:rPr>
                <w:sz w:val="24"/>
                <w:szCs w:val="24"/>
              </w:rPr>
              <w:t>and, salary increases, up about 13%.</w:t>
            </w:r>
          </w:p>
          <w:p w:rsidR="00CE5EC9" w:rsidRDefault="00CE5EC9" w:rsidP="00CE5EC9">
            <w:pPr>
              <w:pStyle w:val="ListParagraph"/>
              <w:numPr>
                <w:ilvl w:val="0"/>
                <w:numId w:val="3"/>
              </w:numPr>
              <w:rPr>
                <w:sz w:val="24"/>
                <w:szCs w:val="24"/>
              </w:rPr>
            </w:pPr>
            <w:r>
              <w:rPr>
                <w:sz w:val="24"/>
                <w:szCs w:val="24"/>
              </w:rPr>
              <w:t>There has been a 13% increase in operating expenses as well.</w:t>
            </w:r>
          </w:p>
          <w:p w:rsidR="00CE5EC9" w:rsidRPr="00CE5EC9" w:rsidRDefault="00CE5EC9" w:rsidP="00CE5EC9">
            <w:pPr>
              <w:pStyle w:val="ListParagraph"/>
              <w:numPr>
                <w:ilvl w:val="0"/>
                <w:numId w:val="3"/>
              </w:numPr>
              <w:rPr>
                <w:sz w:val="24"/>
                <w:szCs w:val="24"/>
              </w:rPr>
            </w:pPr>
            <w:r>
              <w:rPr>
                <w:sz w:val="24"/>
                <w:szCs w:val="24"/>
              </w:rPr>
              <w:t>Overall we are $1.9 million to the good.  Departmental positions, budget to actual clinical revenues and accounts receivable were reviewed and discussed.  The Medicaid Managed Care plan transition as well as the Naples transition have had an impact on accounts receivable.</w:t>
            </w:r>
          </w:p>
          <w:p w:rsidR="008A1B4B" w:rsidRPr="008A1B4B" w:rsidRDefault="008A1B4B" w:rsidP="008A1B4B">
            <w:pPr>
              <w:pStyle w:val="ListParagraph"/>
              <w:rPr>
                <w:sz w:val="24"/>
                <w:szCs w:val="24"/>
              </w:rPr>
            </w:pPr>
          </w:p>
        </w:tc>
        <w:tc>
          <w:tcPr>
            <w:tcW w:w="2515" w:type="dxa"/>
          </w:tcPr>
          <w:p w:rsidR="0038117B" w:rsidRDefault="0038117B" w:rsidP="00904E48">
            <w:pPr>
              <w:rPr>
                <w:sz w:val="24"/>
                <w:szCs w:val="24"/>
              </w:rPr>
            </w:pPr>
          </w:p>
        </w:tc>
      </w:tr>
      <w:tr w:rsidR="0038117B" w:rsidTr="0038117B">
        <w:tc>
          <w:tcPr>
            <w:tcW w:w="2695" w:type="dxa"/>
          </w:tcPr>
          <w:p w:rsidR="0038117B" w:rsidRDefault="0038117B" w:rsidP="00904E48">
            <w:pPr>
              <w:rPr>
                <w:sz w:val="24"/>
                <w:szCs w:val="24"/>
              </w:rPr>
            </w:pPr>
          </w:p>
          <w:p w:rsidR="00F0278E" w:rsidRPr="00F0278E" w:rsidRDefault="00F0278E" w:rsidP="00904E48">
            <w:pPr>
              <w:rPr>
                <w:b/>
                <w:sz w:val="24"/>
                <w:szCs w:val="24"/>
              </w:rPr>
            </w:pPr>
            <w:r w:rsidRPr="00F0278E">
              <w:rPr>
                <w:b/>
                <w:sz w:val="24"/>
                <w:szCs w:val="24"/>
              </w:rPr>
              <w:t>Additional Financial</w:t>
            </w:r>
          </w:p>
          <w:p w:rsidR="00F0278E" w:rsidRPr="00F0278E" w:rsidRDefault="00F0278E" w:rsidP="00904E48">
            <w:pPr>
              <w:rPr>
                <w:b/>
                <w:sz w:val="24"/>
                <w:szCs w:val="24"/>
              </w:rPr>
            </w:pPr>
            <w:r w:rsidRPr="00F0278E">
              <w:rPr>
                <w:b/>
                <w:sz w:val="24"/>
                <w:szCs w:val="24"/>
              </w:rPr>
              <w:t>Discussion cont’d</w:t>
            </w:r>
          </w:p>
          <w:p w:rsidR="00F0278E" w:rsidRDefault="00F0278E" w:rsidP="00904E48">
            <w:pPr>
              <w:rPr>
                <w:sz w:val="24"/>
                <w:szCs w:val="24"/>
              </w:rPr>
            </w:pPr>
          </w:p>
        </w:tc>
        <w:tc>
          <w:tcPr>
            <w:tcW w:w="9180" w:type="dxa"/>
          </w:tcPr>
          <w:p w:rsidR="0038117B" w:rsidRDefault="00F0278E" w:rsidP="00F0278E">
            <w:pPr>
              <w:pStyle w:val="ListParagraph"/>
              <w:numPr>
                <w:ilvl w:val="0"/>
                <w:numId w:val="4"/>
              </w:numPr>
              <w:rPr>
                <w:sz w:val="24"/>
                <w:szCs w:val="24"/>
              </w:rPr>
            </w:pPr>
            <w:r>
              <w:rPr>
                <w:sz w:val="24"/>
                <w:szCs w:val="24"/>
              </w:rPr>
              <w:t>Laura Huntley mentioned college presentations to the Board of Trustees.</w:t>
            </w:r>
          </w:p>
          <w:p w:rsidR="00F0278E" w:rsidRDefault="00F0278E" w:rsidP="00F0278E">
            <w:pPr>
              <w:pStyle w:val="ListParagraph"/>
              <w:rPr>
                <w:sz w:val="24"/>
                <w:szCs w:val="24"/>
              </w:rPr>
            </w:pPr>
            <w:r>
              <w:rPr>
                <w:sz w:val="24"/>
                <w:szCs w:val="24"/>
              </w:rPr>
              <w:t>Mr. Reynolds clarified that these presentations are designed to highlight accomplishments and strategic plans in the colleges rather than financial and operational issues.</w:t>
            </w:r>
            <w:r w:rsidR="00E66E67">
              <w:rPr>
                <w:sz w:val="24"/>
                <w:szCs w:val="24"/>
              </w:rPr>
              <w:t xml:space="preserve">  He also informed the group of new legislation defining</w:t>
            </w:r>
          </w:p>
          <w:p w:rsidR="00E66E67" w:rsidRPr="00F0278E" w:rsidRDefault="00E66E67" w:rsidP="00F0278E">
            <w:pPr>
              <w:pStyle w:val="ListParagraph"/>
              <w:rPr>
                <w:sz w:val="24"/>
                <w:szCs w:val="24"/>
              </w:rPr>
            </w:pPr>
            <w:r>
              <w:rPr>
                <w:sz w:val="24"/>
                <w:szCs w:val="24"/>
              </w:rPr>
              <w:t>the reserve point of the institution at 7%.</w:t>
            </w:r>
          </w:p>
        </w:tc>
        <w:tc>
          <w:tcPr>
            <w:tcW w:w="2515" w:type="dxa"/>
          </w:tcPr>
          <w:p w:rsidR="0038117B" w:rsidRDefault="0038117B" w:rsidP="00904E48">
            <w:pPr>
              <w:rPr>
                <w:sz w:val="24"/>
                <w:szCs w:val="24"/>
              </w:rPr>
            </w:pPr>
          </w:p>
        </w:tc>
      </w:tr>
      <w:tr w:rsidR="009D4492" w:rsidTr="009D4492">
        <w:tc>
          <w:tcPr>
            <w:tcW w:w="2695" w:type="dxa"/>
          </w:tcPr>
          <w:p w:rsidR="009D4492" w:rsidRDefault="009D4492" w:rsidP="00904E48">
            <w:pPr>
              <w:rPr>
                <w:b/>
                <w:sz w:val="24"/>
                <w:szCs w:val="24"/>
              </w:rPr>
            </w:pPr>
            <w:r>
              <w:rPr>
                <w:b/>
                <w:sz w:val="24"/>
                <w:szCs w:val="24"/>
              </w:rPr>
              <w:t>Audit Dates</w:t>
            </w:r>
          </w:p>
          <w:p w:rsidR="009D4492" w:rsidRPr="009D4492" w:rsidRDefault="009D4492" w:rsidP="00904E48">
            <w:pPr>
              <w:rPr>
                <w:b/>
                <w:sz w:val="24"/>
                <w:szCs w:val="24"/>
              </w:rPr>
            </w:pPr>
          </w:p>
        </w:tc>
        <w:tc>
          <w:tcPr>
            <w:tcW w:w="9180" w:type="dxa"/>
          </w:tcPr>
          <w:p w:rsidR="009D4492" w:rsidRDefault="009D4492" w:rsidP="009D4492">
            <w:pPr>
              <w:pStyle w:val="ListParagraph"/>
              <w:numPr>
                <w:ilvl w:val="0"/>
                <w:numId w:val="4"/>
              </w:numPr>
              <w:rPr>
                <w:sz w:val="24"/>
                <w:szCs w:val="24"/>
              </w:rPr>
            </w:pPr>
            <w:r>
              <w:rPr>
                <w:sz w:val="24"/>
                <w:szCs w:val="24"/>
              </w:rPr>
              <w:t>Pre Audit dates:  June 13</w:t>
            </w:r>
            <w:r w:rsidRPr="009D4492">
              <w:rPr>
                <w:sz w:val="24"/>
                <w:szCs w:val="24"/>
                <w:vertAlign w:val="superscript"/>
              </w:rPr>
              <w:t>th</w:t>
            </w:r>
            <w:r>
              <w:rPr>
                <w:sz w:val="24"/>
                <w:szCs w:val="24"/>
              </w:rPr>
              <w:t xml:space="preserve"> &amp; 14</w:t>
            </w:r>
            <w:r w:rsidRPr="009D4492">
              <w:rPr>
                <w:sz w:val="24"/>
                <w:szCs w:val="24"/>
                <w:vertAlign w:val="superscript"/>
              </w:rPr>
              <w:t>th</w:t>
            </w:r>
            <w:r>
              <w:rPr>
                <w:sz w:val="24"/>
                <w:szCs w:val="24"/>
              </w:rPr>
              <w:t>.</w:t>
            </w:r>
          </w:p>
          <w:p w:rsidR="009D4492" w:rsidRDefault="009D4492" w:rsidP="009D4492">
            <w:pPr>
              <w:pStyle w:val="ListParagraph"/>
              <w:numPr>
                <w:ilvl w:val="0"/>
                <w:numId w:val="4"/>
              </w:numPr>
              <w:rPr>
                <w:sz w:val="24"/>
                <w:szCs w:val="24"/>
              </w:rPr>
            </w:pPr>
            <w:r>
              <w:rPr>
                <w:sz w:val="24"/>
                <w:szCs w:val="24"/>
              </w:rPr>
              <w:t>Full Audit:  August 26</w:t>
            </w:r>
            <w:r w:rsidRPr="009D4492">
              <w:rPr>
                <w:sz w:val="24"/>
                <w:szCs w:val="24"/>
                <w:vertAlign w:val="superscript"/>
              </w:rPr>
              <w:t>th</w:t>
            </w:r>
            <w:r>
              <w:rPr>
                <w:sz w:val="24"/>
                <w:szCs w:val="24"/>
              </w:rPr>
              <w:t xml:space="preserve"> – 30</w:t>
            </w:r>
            <w:r w:rsidRPr="009D4492">
              <w:rPr>
                <w:sz w:val="24"/>
                <w:szCs w:val="24"/>
                <w:vertAlign w:val="superscript"/>
              </w:rPr>
              <w:t>th</w:t>
            </w:r>
            <w:r>
              <w:rPr>
                <w:sz w:val="24"/>
                <w:szCs w:val="24"/>
              </w:rPr>
              <w:t>.  Jeremiah Brown, Purvis Gray &amp; Company, is the new</w:t>
            </w:r>
          </w:p>
          <w:p w:rsidR="009D4492" w:rsidRPr="009D4492" w:rsidRDefault="009D4492" w:rsidP="009D4492">
            <w:pPr>
              <w:pStyle w:val="ListParagraph"/>
              <w:rPr>
                <w:sz w:val="24"/>
                <w:szCs w:val="24"/>
              </w:rPr>
            </w:pPr>
            <w:r>
              <w:rPr>
                <w:sz w:val="24"/>
                <w:szCs w:val="24"/>
              </w:rPr>
              <w:t>Lead auditor.</w:t>
            </w:r>
          </w:p>
        </w:tc>
        <w:tc>
          <w:tcPr>
            <w:tcW w:w="2515" w:type="dxa"/>
          </w:tcPr>
          <w:p w:rsidR="009D4492" w:rsidRDefault="009D4492" w:rsidP="00904E48">
            <w:pPr>
              <w:rPr>
                <w:sz w:val="24"/>
                <w:szCs w:val="24"/>
              </w:rPr>
            </w:pPr>
          </w:p>
        </w:tc>
      </w:tr>
      <w:tr w:rsidR="009D4492" w:rsidTr="009D4492">
        <w:tc>
          <w:tcPr>
            <w:tcW w:w="2695" w:type="dxa"/>
          </w:tcPr>
          <w:p w:rsidR="009D4492" w:rsidRPr="009D4492" w:rsidRDefault="009D4492" w:rsidP="00904E48">
            <w:pPr>
              <w:rPr>
                <w:b/>
                <w:sz w:val="24"/>
                <w:szCs w:val="24"/>
              </w:rPr>
            </w:pPr>
            <w:r w:rsidRPr="009D4492">
              <w:rPr>
                <w:b/>
                <w:sz w:val="24"/>
                <w:szCs w:val="24"/>
              </w:rPr>
              <w:t>Adjourned</w:t>
            </w:r>
          </w:p>
        </w:tc>
        <w:tc>
          <w:tcPr>
            <w:tcW w:w="9180" w:type="dxa"/>
          </w:tcPr>
          <w:p w:rsidR="009D4492" w:rsidRDefault="009D4492" w:rsidP="00904E48">
            <w:pPr>
              <w:rPr>
                <w:sz w:val="24"/>
                <w:szCs w:val="24"/>
              </w:rPr>
            </w:pPr>
            <w:r>
              <w:rPr>
                <w:sz w:val="24"/>
                <w:szCs w:val="24"/>
              </w:rPr>
              <w:t>Adjourned  1:50pm</w:t>
            </w:r>
          </w:p>
        </w:tc>
        <w:tc>
          <w:tcPr>
            <w:tcW w:w="2515" w:type="dxa"/>
          </w:tcPr>
          <w:p w:rsidR="009D4492" w:rsidRDefault="009D4492" w:rsidP="00904E48">
            <w:pPr>
              <w:rPr>
                <w:sz w:val="24"/>
                <w:szCs w:val="24"/>
              </w:rPr>
            </w:pPr>
          </w:p>
        </w:tc>
      </w:tr>
      <w:tr w:rsidR="009D4492" w:rsidTr="009D4492">
        <w:tc>
          <w:tcPr>
            <w:tcW w:w="2695" w:type="dxa"/>
          </w:tcPr>
          <w:p w:rsidR="009D4492" w:rsidRPr="009D4492" w:rsidRDefault="009D4492" w:rsidP="00904E48">
            <w:pPr>
              <w:rPr>
                <w:b/>
                <w:sz w:val="24"/>
                <w:szCs w:val="24"/>
              </w:rPr>
            </w:pPr>
            <w:r w:rsidRPr="009D4492">
              <w:rPr>
                <w:b/>
                <w:sz w:val="24"/>
                <w:szCs w:val="24"/>
              </w:rPr>
              <w:t>Next Meeting</w:t>
            </w:r>
          </w:p>
        </w:tc>
        <w:tc>
          <w:tcPr>
            <w:tcW w:w="9180" w:type="dxa"/>
          </w:tcPr>
          <w:p w:rsidR="009D4492" w:rsidRDefault="009D4492" w:rsidP="00904E48">
            <w:pPr>
              <w:rPr>
                <w:sz w:val="24"/>
                <w:szCs w:val="24"/>
              </w:rPr>
            </w:pPr>
            <w:r>
              <w:rPr>
                <w:sz w:val="24"/>
                <w:szCs w:val="24"/>
              </w:rPr>
              <w:t>TBD</w:t>
            </w:r>
          </w:p>
        </w:tc>
        <w:tc>
          <w:tcPr>
            <w:tcW w:w="2515" w:type="dxa"/>
          </w:tcPr>
          <w:p w:rsidR="009D4492" w:rsidRDefault="009D4492" w:rsidP="00904E48">
            <w:pPr>
              <w:rPr>
                <w:sz w:val="24"/>
                <w:szCs w:val="24"/>
              </w:rPr>
            </w:pPr>
          </w:p>
        </w:tc>
      </w:tr>
    </w:tbl>
    <w:p w:rsidR="0013477C" w:rsidRPr="00904E48" w:rsidRDefault="0013477C" w:rsidP="00904E48">
      <w:pPr>
        <w:spacing w:after="0"/>
        <w:rPr>
          <w:sz w:val="24"/>
          <w:szCs w:val="24"/>
        </w:rPr>
      </w:pPr>
    </w:p>
    <w:sectPr w:rsidR="0013477C" w:rsidRPr="00904E48" w:rsidSect="00904E4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4D9" w:rsidRDefault="007C44D9" w:rsidP="00E70FBC">
      <w:pPr>
        <w:spacing w:after="0" w:line="240" w:lineRule="auto"/>
      </w:pPr>
      <w:r>
        <w:separator/>
      </w:r>
    </w:p>
  </w:endnote>
  <w:endnote w:type="continuationSeparator" w:id="0">
    <w:p w:rsidR="007C44D9" w:rsidRDefault="007C44D9" w:rsidP="00E70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4D9" w:rsidRDefault="007C44D9" w:rsidP="00E70FBC">
      <w:pPr>
        <w:spacing w:after="0" w:line="240" w:lineRule="auto"/>
      </w:pPr>
      <w:r>
        <w:separator/>
      </w:r>
    </w:p>
  </w:footnote>
  <w:footnote w:type="continuationSeparator" w:id="0">
    <w:p w:rsidR="007C44D9" w:rsidRDefault="007C44D9" w:rsidP="00E70F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0D45"/>
    <w:multiLevelType w:val="hybridMultilevel"/>
    <w:tmpl w:val="CD2E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45D6F"/>
    <w:multiLevelType w:val="hybridMultilevel"/>
    <w:tmpl w:val="9FB4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C76B57"/>
    <w:multiLevelType w:val="hybridMultilevel"/>
    <w:tmpl w:val="7E26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B53DE3"/>
    <w:multiLevelType w:val="hybridMultilevel"/>
    <w:tmpl w:val="F2F0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FBC"/>
    <w:rsid w:val="00002B07"/>
    <w:rsid w:val="00021679"/>
    <w:rsid w:val="00022EF9"/>
    <w:rsid w:val="0013477C"/>
    <w:rsid w:val="00143824"/>
    <w:rsid w:val="00307CB4"/>
    <w:rsid w:val="0034626B"/>
    <w:rsid w:val="0038117B"/>
    <w:rsid w:val="004B137A"/>
    <w:rsid w:val="006C653C"/>
    <w:rsid w:val="006F4C77"/>
    <w:rsid w:val="00774593"/>
    <w:rsid w:val="007C44D9"/>
    <w:rsid w:val="00835632"/>
    <w:rsid w:val="008A1B4B"/>
    <w:rsid w:val="008A773C"/>
    <w:rsid w:val="00904E48"/>
    <w:rsid w:val="00913CF1"/>
    <w:rsid w:val="009D4492"/>
    <w:rsid w:val="00A4348B"/>
    <w:rsid w:val="00B40290"/>
    <w:rsid w:val="00B501D4"/>
    <w:rsid w:val="00B532D3"/>
    <w:rsid w:val="00BE1540"/>
    <w:rsid w:val="00CE0FF8"/>
    <w:rsid w:val="00CE5EC9"/>
    <w:rsid w:val="00E66E67"/>
    <w:rsid w:val="00E70FBC"/>
    <w:rsid w:val="00F0278E"/>
    <w:rsid w:val="00F8065C"/>
    <w:rsid w:val="00FA0A0C"/>
    <w:rsid w:val="00FD1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BBD07"/>
  <w15:chartTrackingRefBased/>
  <w15:docId w15:val="{9646C7FD-C5BC-4524-ABB8-8AC9590F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FBC"/>
  </w:style>
  <w:style w:type="paragraph" w:styleId="Footer">
    <w:name w:val="footer"/>
    <w:basedOn w:val="Normal"/>
    <w:link w:val="FooterChar"/>
    <w:uiPriority w:val="99"/>
    <w:unhideWhenUsed/>
    <w:rsid w:val="00E70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FBC"/>
  </w:style>
  <w:style w:type="table" w:styleId="TableGrid">
    <w:name w:val="Table Grid"/>
    <w:basedOn w:val="TableNormal"/>
    <w:uiPriority w:val="39"/>
    <w:rsid w:val="00134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26B"/>
    <w:pPr>
      <w:ind w:left="720"/>
      <w:contextualSpacing/>
    </w:pPr>
  </w:style>
  <w:style w:type="paragraph" w:styleId="BalloonText">
    <w:name w:val="Balloon Text"/>
    <w:basedOn w:val="Normal"/>
    <w:link w:val="BalloonTextChar"/>
    <w:uiPriority w:val="99"/>
    <w:semiHidden/>
    <w:unhideWhenUsed/>
    <w:rsid w:val="00143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8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Tolley,Sharon</dc:creator>
  <cp:keywords/>
  <dc:description/>
  <cp:lastModifiedBy>Sweitzer,Jean M</cp:lastModifiedBy>
  <cp:revision>18</cp:revision>
  <cp:lastPrinted>2019-06-13T12:26:00Z</cp:lastPrinted>
  <dcterms:created xsi:type="dcterms:W3CDTF">2019-06-13T11:52:00Z</dcterms:created>
  <dcterms:modified xsi:type="dcterms:W3CDTF">2019-07-25T13:16:00Z</dcterms:modified>
</cp:coreProperties>
</file>