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09142216"/>
        <w:docPartObj>
          <w:docPartGallery w:val="Cover Pages"/>
          <w:docPartUnique/>
        </w:docPartObj>
      </w:sdtPr>
      <w:sdtEndPr>
        <w:rPr>
          <w:rFonts w:asciiTheme="minorHAnsi" w:eastAsiaTheme="minorHAnsi" w:hAnsiTheme="minorHAnsi" w:cstheme="minorBidi"/>
          <w:sz w:val="22"/>
          <w:szCs w:val="22"/>
        </w:rPr>
      </w:sdtEndPr>
      <w:sdtContent>
        <w:p w:rsidR="0019191A" w:rsidRDefault="000769DE">
          <w:pPr>
            <w:pStyle w:val="NoSpacing"/>
            <w:rPr>
              <w:rFonts w:asciiTheme="majorHAnsi" w:eastAsiaTheme="majorEastAsia" w:hAnsiTheme="majorHAnsi" w:cstheme="majorBidi"/>
              <w:sz w:val="72"/>
              <w:szCs w:val="72"/>
            </w:rPr>
          </w:pPr>
          <w:r>
            <w:rPr>
              <w:rFonts w:eastAsiaTheme="majorEastAsia" w:cstheme="majorBidi"/>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8138795" cy="807085"/>
                    <wp:effectExtent l="9525" t="9525" r="12700" b="635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chemeClr val="accent6">
                                <a:lumMod val="100000"/>
                                <a:lumOff val="0"/>
                              </a:schemeClr>
                            </a:soli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0.85pt;height:63.5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" o:allowincell="f" fillcolor="#f79646 [3209]" strokecolor="#f79646 [3209]">
                    <w10:wrap anchorx="page" anchory="page"/>
                  </v:rect>
                </w:pict>
              </mc:Fallback>
            </mc:AlternateContent>
          </w:r>
          <w:r>
            <w:rPr>
              <w:rFonts w:eastAsiaTheme="majorEastAsia" w:cstheme="majorBidi"/>
              <w:noProof/>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0539095"/>
                    <wp:effectExtent l="9525" t="9525" r="13970" b="12700"/>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29.8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" o:allowincell="f" fillcolor="white [3212]" strokecolor="#4f81bd [3204]">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0539095"/>
                    <wp:effectExtent l="9525" t="9525" r="13970" b="12700"/>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29.8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" o:allowincell="f" fillcolor="white [3212]" strokecolor="#4f81bd [3204]">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8138795" cy="807085"/>
                    <wp:effectExtent l="9525" t="9525" r="12700" b="635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chemeClr val="accent1">
                                <a:lumMod val="100000"/>
                                <a:lumOff val="0"/>
                              </a:schemeClr>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0.85pt;height:63.5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" o:allowincell="f" fillcolor="#4f81bd [3204]" strokecolor="#4f81bd [3204]">
                    <w10:wrap anchorx="page" anchory="margin"/>
                  </v:rect>
                </w:pict>
              </mc:Fallback>
            </mc:AlternateConten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19191A" w:rsidRDefault="0019191A">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UF College of Dentistry Patient Satisfaction Survey</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19191A" w:rsidRDefault="00BE73EA">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Results: 200</w:t>
              </w:r>
              <w:r w:rsidR="00DB5DC5">
                <w:rPr>
                  <w:rFonts w:asciiTheme="majorHAnsi" w:eastAsiaTheme="majorEastAsia" w:hAnsiTheme="majorHAnsi" w:cstheme="majorBidi"/>
                  <w:sz w:val="36"/>
                  <w:szCs w:val="36"/>
                </w:rPr>
                <w:t>9</w:t>
              </w:r>
              <w:r w:rsidR="0019191A">
                <w:rPr>
                  <w:rFonts w:asciiTheme="majorHAnsi" w:eastAsiaTheme="majorEastAsia" w:hAnsiTheme="majorHAnsi" w:cstheme="majorBidi"/>
                  <w:sz w:val="36"/>
                  <w:szCs w:val="36"/>
                </w:rPr>
                <w:t xml:space="preserve"> - 201</w:t>
              </w:r>
              <w:r w:rsidR="00DB5DC5">
                <w:rPr>
                  <w:rFonts w:asciiTheme="majorHAnsi" w:eastAsiaTheme="majorEastAsia" w:hAnsiTheme="majorHAnsi" w:cstheme="majorBidi"/>
                  <w:sz w:val="36"/>
                  <w:szCs w:val="36"/>
                </w:rPr>
                <w:t>3</w:t>
              </w:r>
            </w:p>
          </w:sdtContent>
        </w:sdt>
        <w:p w:rsidR="0019191A" w:rsidRDefault="0019191A">
          <w:pPr>
            <w:pStyle w:val="NoSpacing"/>
            <w:rPr>
              <w:rFonts w:asciiTheme="majorHAnsi" w:eastAsiaTheme="majorEastAsia" w:hAnsiTheme="majorHAnsi" w:cstheme="majorBidi"/>
              <w:sz w:val="36"/>
              <w:szCs w:val="36"/>
            </w:rPr>
          </w:pPr>
        </w:p>
        <w:p w:rsidR="0019191A" w:rsidRDefault="0019191A">
          <w:pPr>
            <w:pStyle w:val="NoSpacing"/>
            <w:rPr>
              <w:rFonts w:asciiTheme="majorHAnsi" w:eastAsiaTheme="majorEastAsia" w:hAnsiTheme="majorHAnsi" w:cstheme="majorBidi"/>
              <w:sz w:val="36"/>
              <w:szCs w:val="36"/>
            </w:rPr>
          </w:pPr>
        </w:p>
        <w:p w:rsidR="0019191A" w:rsidRDefault="0019191A">
          <w:pPr>
            <w:pStyle w:val="NoSpacing"/>
          </w:pPr>
        </w:p>
        <w:p w:rsidR="0019191A" w:rsidRDefault="0019191A">
          <w:pPr>
            <w:pStyle w:val="NoSpacing"/>
          </w:pPr>
        </w:p>
        <w:p w:rsidR="0019191A" w:rsidRDefault="0019191A">
          <w:pPr>
            <w:pStyle w:val="NoSpacing"/>
          </w:pPr>
        </w:p>
        <w:p w:rsidR="0019191A" w:rsidRDefault="0019191A">
          <w:pPr>
            <w:pStyle w:val="NoSpacing"/>
          </w:pPr>
          <w:r>
            <w:rPr>
              <w:noProof/>
            </w:rPr>
            <w:drawing>
              <wp:anchor distT="0" distB="0" distL="114300" distR="114300" simplePos="0" relativeHeight="251664384" behindDoc="1" locked="0" layoutInCell="1" allowOverlap="1">
                <wp:simplePos x="0" y="0"/>
                <wp:positionH relativeFrom="column">
                  <wp:posOffset>1162050</wp:posOffset>
                </wp:positionH>
                <wp:positionV relativeFrom="paragraph">
                  <wp:posOffset>76835</wp:posOffset>
                </wp:positionV>
                <wp:extent cx="3305175" cy="2505075"/>
                <wp:effectExtent l="19050" t="0" r="9525" b="0"/>
                <wp:wrapNone/>
                <wp:docPr id="25" name="Picture 24"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
                        <pic:cNvPicPr/>
                      </pic:nvPicPr>
                      <pic:blipFill>
                        <a:blip r:embed="rId9" cstate="print"/>
                        <a:stretch>
                          <a:fillRect/>
                        </a:stretch>
                      </pic:blipFill>
                      <pic:spPr>
                        <a:xfrm>
                          <a:off x="0" y="0"/>
                          <a:ext cx="3305175" cy="2505075"/>
                        </a:xfrm>
                        <a:prstGeom prst="rect">
                          <a:avLst/>
                        </a:prstGeom>
                      </pic:spPr>
                    </pic:pic>
                  </a:graphicData>
                </a:graphic>
              </wp:anchor>
            </w:drawing>
          </w:r>
        </w:p>
        <w:p w:rsidR="0019191A" w:rsidRDefault="0019191A">
          <w:pPr>
            <w:pStyle w:val="NoSpacing"/>
          </w:pPr>
        </w:p>
        <w:p w:rsidR="0019191A" w:rsidRDefault="0019191A">
          <w:pPr>
            <w:pStyle w:val="NoSpacing"/>
          </w:pPr>
        </w:p>
        <w:p w:rsidR="0019191A" w:rsidRDefault="0019191A">
          <w:pPr>
            <w:pStyle w:val="NoSpacing"/>
          </w:pPr>
        </w:p>
        <w:p w:rsidR="0019191A" w:rsidRDefault="0019191A">
          <w:pPr>
            <w:pStyle w:val="NoSpacing"/>
          </w:pPr>
        </w:p>
        <w:p w:rsidR="0019191A" w:rsidRDefault="0019191A">
          <w:pPr>
            <w:pStyle w:val="NoSpacing"/>
          </w:pPr>
        </w:p>
        <w:p w:rsidR="0019191A" w:rsidRDefault="0019191A">
          <w:pPr>
            <w:pStyle w:val="NoSpacing"/>
          </w:pPr>
        </w:p>
        <w:p w:rsidR="0019191A" w:rsidRDefault="0019191A">
          <w:pPr>
            <w:pStyle w:val="NoSpacing"/>
          </w:pPr>
        </w:p>
        <w:p w:rsidR="0019191A" w:rsidRDefault="0019191A">
          <w:pPr>
            <w:pStyle w:val="NoSpacing"/>
          </w:pPr>
        </w:p>
        <w:p w:rsidR="0019191A" w:rsidRDefault="0019191A">
          <w:pPr>
            <w:pStyle w:val="NoSpacing"/>
          </w:pPr>
        </w:p>
        <w:p w:rsidR="0019191A" w:rsidRDefault="0019191A">
          <w:pPr>
            <w:pStyle w:val="NoSpacing"/>
          </w:pPr>
        </w:p>
        <w:p w:rsidR="0019191A" w:rsidRDefault="0019191A">
          <w:pPr>
            <w:pStyle w:val="NoSpacing"/>
          </w:pPr>
        </w:p>
        <w:p w:rsidR="0019191A" w:rsidRDefault="0019191A"/>
        <w:p w:rsidR="0019191A" w:rsidRDefault="0019191A">
          <w:pPr>
            <w:spacing w:after="200" w:line="276" w:lineRule="auto"/>
            <w:rPr>
              <w:rFonts w:asciiTheme="majorHAnsi" w:eastAsiaTheme="majorEastAsia" w:hAnsiTheme="majorHAnsi" w:cstheme="majorBidi"/>
              <w:b/>
              <w:bCs/>
              <w:color w:val="365F91" w:themeColor="accent1" w:themeShade="BF"/>
              <w:sz w:val="28"/>
              <w:szCs w:val="28"/>
            </w:rPr>
          </w:pPr>
          <w:r>
            <w:rPr>
              <w:noProof/>
            </w:rPr>
            <w:drawing>
              <wp:anchor distT="0" distB="0" distL="114300" distR="114300" simplePos="0" relativeHeight="251665408" behindDoc="1" locked="0" layoutInCell="1" allowOverlap="1">
                <wp:simplePos x="0" y="0"/>
                <wp:positionH relativeFrom="column">
                  <wp:posOffset>-257175</wp:posOffset>
                </wp:positionH>
                <wp:positionV relativeFrom="paragraph">
                  <wp:posOffset>2432050</wp:posOffset>
                </wp:positionV>
                <wp:extent cx="1905000" cy="609600"/>
                <wp:effectExtent l="19050" t="0" r="0" b="0"/>
                <wp:wrapNone/>
                <wp:docPr id="24" name="Picture 19" descr="UF College of Dentist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 College of Dentistry logo.jpg"/>
                        <pic:cNvPicPr/>
                      </pic:nvPicPr>
                      <pic:blipFill>
                        <a:blip r:embed="rId10" cstate="print"/>
                        <a:stretch>
                          <a:fillRect/>
                        </a:stretch>
                      </pic:blipFill>
                      <pic:spPr>
                        <a:xfrm>
                          <a:off x="0" y="0"/>
                          <a:ext cx="1905000" cy="609600"/>
                        </a:xfrm>
                        <a:prstGeom prst="rect">
                          <a:avLst/>
                        </a:prstGeom>
                      </pic:spPr>
                    </pic:pic>
                  </a:graphicData>
                </a:graphic>
              </wp:anchor>
            </w:drawing>
          </w:r>
          <w:r>
            <w:br w:type="page"/>
          </w:r>
        </w:p>
      </w:sdtContent>
    </w:sdt>
    <w:sdt>
      <w:sdtPr>
        <w:rPr>
          <w:rFonts w:asciiTheme="minorHAnsi" w:eastAsiaTheme="minorHAnsi" w:hAnsiTheme="minorHAnsi" w:cstheme="minorBidi"/>
          <w:b w:val="0"/>
          <w:bCs w:val="0"/>
          <w:color w:val="auto"/>
          <w:sz w:val="22"/>
          <w:szCs w:val="22"/>
        </w:rPr>
        <w:id w:val="1237910113"/>
        <w:docPartObj>
          <w:docPartGallery w:val="Table of Contents"/>
          <w:docPartUnique/>
        </w:docPartObj>
      </w:sdtPr>
      <w:sdtEndPr>
        <w:rPr>
          <w:noProof/>
        </w:rPr>
      </w:sdtEndPr>
      <w:sdtContent>
        <w:p w:rsidR="00BE58AE" w:rsidRDefault="00BE58AE">
          <w:pPr>
            <w:pStyle w:val="TOCHeading"/>
          </w:pPr>
          <w:r>
            <w:t>Table of Contents</w:t>
          </w:r>
        </w:p>
        <w:p w:rsidR="0034703C" w:rsidRDefault="00BE58A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83680481" w:history="1">
            <w:r w:rsidR="0034703C" w:rsidRPr="00375A90">
              <w:rPr>
                <w:rStyle w:val="Hyperlink"/>
                <w:noProof/>
              </w:rPr>
              <w:t>Introduction</w:t>
            </w:r>
            <w:r w:rsidR="0034703C">
              <w:rPr>
                <w:noProof/>
                <w:webHidden/>
              </w:rPr>
              <w:tab/>
            </w:r>
            <w:r w:rsidR="0034703C">
              <w:rPr>
                <w:noProof/>
                <w:webHidden/>
              </w:rPr>
              <w:fldChar w:fldCharType="begin"/>
            </w:r>
            <w:r w:rsidR="0034703C">
              <w:rPr>
                <w:noProof/>
                <w:webHidden/>
              </w:rPr>
              <w:instrText xml:space="preserve"> PAGEREF _Toc383680481 \h </w:instrText>
            </w:r>
            <w:r w:rsidR="0034703C">
              <w:rPr>
                <w:noProof/>
                <w:webHidden/>
              </w:rPr>
            </w:r>
            <w:r w:rsidR="0034703C">
              <w:rPr>
                <w:noProof/>
                <w:webHidden/>
              </w:rPr>
              <w:fldChar w:fldCharType="separate"/>
            </w:r>
            <w:r w:rsidR="0034703C">
              <w:rPr>
                <w:noProof/>
                <w:webHidden/>
              </w:rPr>
              <w:t>3</w:t>
            </w:r>
            <w:r w:rsidR="0034703C">
              <w:rPr>
                <w:noProof/>
                <w:webHidden/>
              </w:rPr>
              <w:fldChar w:fldCharType="end"/>
            </w:r>
          </w:hyperlink>
        </w:p>
        <w:p w:rsidR="0034703C" w:rsidRDefault="0034703C">
          <w:pPr>
            <w:pStyle w:val="TOC2"/>
            <w:tabs>
              <w:tab w:val="right" w:leader="dot" w:pos="9350"/>
            </w:tabs>
            <w:rPr>
              <w:rFonts w:eastAsiaTheme="minorEastAsia"/>
              <w:noProof/>
            </w:rPr>
          </w:pPr>
          <w:hyperlink w:anchor="_Toc383680482" w:history="1">
            <w:r w:rsidRPr="00375A90">
              <w:rPr>
                <w:rStyle w:val="Hyperlink"/>
                <w:noProof/>
              </w:rPr>
              <w:t>Number of Surveys Completed</w:t>
            </w:r>
            <w:r>
              <w:rPr>
                <w:noProof/>
                <w:webHidden/>
              </w:rPr>
              <w:tab/>
            </w:r>
            <w:r>
              <w:rPr>
                <w:noProof/>
                <w:webHidden/>
              </w:rPr>
              <w:fldChar w:fldCharType="begin"/>
            </w:r>
            <w:r>
              <w:rPr>
                <w:noProof/>
                <w:webHidden/>
              </w:rPr>
              <w:instrText xml:space="preserve"> PAGEREF _Toc383680482 \h </w:instrText>
            </w:r>
            <w:r>
              <w:rPr>
                <w:noProof/>
                <w:webHidden/>
              </w:rPr>
            </w:r>
            <w:r>
              <w:rPr>
                <w:noProof/>
                <w:webHidden/>
              </w:rPr>
              <w:fldChar w:fldCharType="separate"/>
            </w:r>
            <w:r>
              <w:rPr>
                <w:noProof/>
                <w:webHidden/>
              </w:rPr>
              <w:t>3</w:t>
            </w:r>
            <w:r>
              <w:rPr>
                <w:noProof/>
                <w:webHidden/>
              </w:rPr>
              <w:fldChar w:fldCharType="end"/>
            </w:r>
          </w:hyperlink>
        </w:p>
        <w:p w:rsidR="0034703C" w:rsidRDefault="0034703C">
          <w:pPr>
            <w:pStyle w:val="TOC2"/>
            <w:tabs>
              <w:tab w:val="right" w:leader="dot" w:pos="9350"/>
            </w:tabs>
            <w:rPr>
              <w:rFonts w:eastAsiaTheme="minorEastAsia"/>
              <w:noProof/>
            </w:rPr>
          </w:pPr>
          <w:hyperlink w:anchor="_Toc383680483" w:history="1">
            <w:r w:rsidRPr="00375A90">
              <w:rPr>
                <w:rStyle w:val="Hyperlink"/>
                <w:noProof/>
              </w:rPr>
              <w:t>Percentage of Surveys Completed to Patients Seen by Clinics (2010-2013)</w:t>
            </w:r>
            <w:r>
              <w:rPr>
                <w:noProof/>
                <w:webHidden/>
              </w:rPr>
              <w:tab/>
            </w:r>
            <w:r>
              <w:rPr>
                <w:noProof/>
                <w:webHidden/>
              </w:rPr>
              <w:fldChar w:fldCharType="begin"/>
            </w:r>
            <w:r>
              <w:rPr>
                <w:noProof/>
                <w:webHidden/>
              </w:rPr>
              <w:instrText xml:space="preserve"> PAGEREF _Toc383680483 \h </w:instrText>
            </w:r>
            <w:r>
              <w:rPr>
                <w:noProof/>
                <w:webHidden/>
              </w:rPr>
            </w:r>
            <w:r>
              <w:rPr>
                <w:noProof/>
                <w:webHidden/>
              </w:rPr>
              <w:fldChar w:fldCharType="separate"/>
            </w:r>
            <w:r>
              <w:rPr>
                <w:noProof/>
                <w:webHidden/>
              </w:rPr>
              <w:t>4</w:t>
            </w:r>
            <w:r>
              <w:rPr>
                <w:noProof/>
                <w:webHidden/>
              </w:rPr>
              <w:fldChar w:fldCharType="end"/>
            </w:r>
          </w:hyperlink>
        </w:p>
        <w:p w:rsidR="0034703C" w:rsidRDefault="0034703C">
          <w:pPr>
            <w:pStyle w:val="TOC2"/>
            <w:tabs>
              <w:tab w:val="right" w:leader="dot" w:pos="9350"/>
            </w:tabs>
            <w:rPr>
              <w:rFonts w:eastAsiaTheme="minorEastAsia"/>
              <w:noProof/>
            </w:rPr>
          </w:pPr>
          <w:hyperlink w:anchor="_Toc383680484" w:history="1">
            <w:r w:rsidRPr="00375A90">
              <w:rPr>
                <w:rStyle w:val="Hyperlink"/>
                <w:noProof/>
              </w:rPr>
              <w:t>Response by Specialty Clinics</w:t>
            </w:r>
            <w:r>
              <w:rPr>
                <w:noProof/>
                <w:webHidden/>
              </w:rPr>
              <w:tab/>
            </w:r>
            <w:r>
              <w:rPr>
                <w:noProof/>
                <w:webHidden/>
              </w:rPr>
              <w:fldChar w:fldCharType="begin"/>
            </w:r>
            <w:r>
              <w:rPr>
                <w:noProof/>
                <w:webHidden/>
              </w:rPr>
              <w:instrText xml:space="preserve"> PAGEREF _Toc383680484 \h </w:instrText>
            </w:r>
            <w:r>
              <w:rPr>
                <w:noProof/>
                <w:webHidden/>
              </w:rPr>
            </w:r>
            <w:r>
              <w:rPr>
                <w:noProof/>
                <w:webHidden/>
              </w:rPr>
              <w:fldChar w:fldCharType="separate"/>
            </w:r>
            <w:r>
              <w:rPr>
                <w:noProof/>
                <w:webHidden/>
              </w:rPr>
              <w:t>6</w:t>
            </w:r>
            <w:r>
              <w:rPr>
                <w:noProof/>
                <w:webHidden/>
              </w:rPr>
              <w:fldChar w:fldCharType="end"/>
            </w:r>
          </w:hyperlink>
        </w:p>
        <w:p w:rsidR="0034703C" w:rsidRDefault="0034703C">
          <w:pPr>
            <w:pStyle w:val="TOC1"/>
            <w:tabs>
              <w:tab w:val="right" w:leader="dot" w:pos="9350"/>
            </w:tabs>
            <w:rPr>
              <w:rFonts w:eastAsiaTheme="minorEastAsia"/>
              <w:noProof/>
            </w:rPr>
          </w:pPr>
          <w:hyperlink w:anchor="_Toc383680485" w:history="1">
            <w:r w:rsidRPr="00375A90">
              <w:rPr>
                <w:rStyle w:val="Hyperlink"/>
                <w:noProof/>
              </w:rPr>
              <w:t>Demographics</w:t>
            </w:r>
            <w:r>
              <w:rPr>
                <w:noProof/>
                <w:webHidden/>
              </w:rPr>
              <w:tab/>
            </w:r>
            <w:r>
              <w:rPr>
                <w:noProof/>
                <w:webHidden/>
              </w:rPr>
              <w:fldChar w:fldCharType="begin"/>
            </w:r>
            <w:r>
              <w:rPr>
                <w:noProof/>
                <w:webHidden/>
              </w:rPr>
              <w:instrText xml:space="preserve"> PAGEREF _Toc383680485 \h </w:instrText>
            </w:r>
            <w:r>
              <w:rPr>
                <w:noProof/>
                <w:webHidden/>
              </w:rPr>
            </w:r>
            <w:r>
              <w:rPr>
                <w:noProof/>
                <w:webHidden/>
              </w:rPr>
              <w:fldChar w:fldCharType="separate"/>
            </w:r>
            <w:r>
              <w:rPr>
                <w:noProof/>
                <w:webHidden/>
              </w:rPr>
              <w:t>7</w:t>
            </w:r>
            <w:r>
              <w:rPr>
                <w:noProof/>
                <w:webHidden/>
              </w:rPr>
              <w:fldChar w:fldCharType="end"/>
            </w:r>
          </w:hyperlink>
        </w:p>
        <w:p w:rsidR="0034703C" w:rsidRDefault="0034703C">
          <w:pPr>
            <w:pStyle w:val="TOC2"/>
            <w:tabs>
              <w:tab w:val="right" w:leader="dot" w:pos="9350"/>
            </w:tabs>
            <w:rPr>
              <w:rFonts w:eastAsiaTheme="minorEastAsia"/>
              <w:noProof/>
            </w:rPr>
          </w:pPr>
          <w:hyperlink w:anchor="_Toc383680486" w:history="1">
            <w:r w:rsidRPr="00375A90">
              <w:rPr>
                <w:rStyle w:val="Hyperlink"/>
                <w:noProof/>
              </w:rPr>
              <w:t>Age</w:t>
            </w:r>
            <w:r>
              <w:rPr>
                <w:noProof/>
                <w:webHidden/>
              </w:rPr>
              <w:tab/>
            </w:r>
            <w:r>
              <w:rPr>
                <w:noProof/>
                <w:webHidden/>
              </w:rPr>
              <w:fldChar w:fldCharType="begin"/>
            </w:r>
            <w:r>
              <w:rPr>
                <w:noProof/>
                <w:webHidden/>
              </w:rPr>
              <w:instrText xml:space="preserve"> PAGEREF _Toc383680486 \h </w:instrText>
            </w:r>
            <w:r>
              <w:rPr>
                <w:noProof/>
                <w:webHidden/>
              </w:rPr>
            </w:r>
            <w:r>
              <w:rPr>
                <w:noProof/>
                <w:webHidden/>
              </w:rPr>
              <w:fldChar w:fldCharType="separate"/>
            </w:r>
            <w:r>
              <w:rPr>
                <w:noProof/>
                <w:webHidden/>
              </w:rPr>
              <w:t>7</w:t>
            </w:r>
            <w:r>
              <w:rPr>
                <w:noProof/>
                <w:webHidden/>
              </w:rPr>
              <w:fldChar w:fldCharType="end"/>
            </w:r>
          </w:hyperlink>
        </w:p>
        <w:p w:rsidR="0034703C" w:rsidRDefault="0034703C">
          <w:pPr>
            <w:pStyle w:val="TOC2"/>
            <w:tabs>
              <w:tab w:val="right" w:leader="dot" w:pos="9350"/>
            </w:tabs>
            <w:rPr>
              <w:rFonts w:eastAsiaTheme="minorEastAsia"/>
              <w:noProof/>
            </w:rPr>
          </w:pPr>
          <w:hyperlink w:anchor="_Toc383680487" w:history="1">
            <w:r w:rsidRPr="00375A90">
              <w:rPr>
                <w:rStyle w:val="Hyperlink"/>
                <w:noProof/>
              </w:rPr>
              <w:t>Gender</w:t>
            </w:r>
            <w:r>
              <w:rPr>
                <w:noProof/>
                <w:webHidden/>
              </w:rPr>
              <w:tab/>
            </w:r>
            <w:r>
              <w:rPr>
                <w:noProof/>
                <w:webHidden/>
              </w:rPr>
              <w:fldChar w:fldCharType="begin"/>
            </w:r>
            <w:r>
              <w:rPr>
                <w:noProof/>
                <w:webHidden/>
              </w:rPr>
              <w:instrText xml:space="preserve"> PAGEREF _Toc383680487 \h </w:instrText>
            </w:r>
            <w:r>
              <w:rPr>
                <w:noProof/>
                <w:webHidden/>
              </w:rPr>
            </w:r>
            <w:r>
              <w:rPr>
                <w:noProof/>
                <w:webHidden/>
              </w:rPr>
              <w:fldChar w:fldCharType="separate"/>
            </w:r>
            <w:r>
              <w:rPr>
                <w:noProof/>
                <w:webHidden/>
              </w:rPr>
              <w:t>8</w:t>
            </w:r>
            <w:r>
              <w:rPr>
                <w:noProof/>
                <w:webHidden/>
              </w:rPr>
              <w:fldChar w:fldCharType="end"/>
            </w:r>
          </w:hyperlink>
        </w:p>
        <w:p w:rsidR="0034703C" w:rsidRDefault="0034703C">
          <w:pPr>
            <w:pStyle w:val="TOC2"/>
            <w:tabs>
              <w:tab w:val="right" w:leader="dot" w:pos="9350"/>
            </w:tabs>
            <w:rPr>
              <w:rFonts w:eastAsiaTheme="minorEastAsia"/>
              <w:noProof/>
            </w:rPr>
          </w:pPr>
          <w:hyperlink w:anchor="_Toc383680488" w:history="1">
            <w:r w:rsidRPr="00375A90">
              <w:rPr>
                <w:rStyle w:val="Hyperlink"/>
                <w:noProof/>
              </w:rPr>
              <w:t>County of Residence (2013)</w:t>
            </w:r>
            <w:r>
              <w:rPr>
                <w:noProof/>
                <w:webHidden/>
              </w:rPr>
              <w:tab/>
            </w:r>
            <w:r>
              <w:rPr>
                <w:noProof/>
                <w:webHidden/>
              </w:rPr>
              <w:fldChar w:fldCharType="begin"/>
            </w:r>
            <w:r>
              <w:rPr>
                <w:noProof/>
                <w:webHidden/>
              </w:rPr>
              <w:instrText xml:space="preserve"> PAGEREF _Toc383680488 \h </w:instrText>
            </w:r>
            <w:r>
              <w:rPr>
                <w:noProof/>
                <w:webHidden/>
              </w:rPr>
            </w:r>
            <w:r>
              <w:rPr>
                <w:noProof/>
                <w:webHidden/>
              </w:rPr>
              <w:fldChar w:fldCharType="separate"/>
            </w:r>
            <w:r>
              <w:rPr>
                <w:noProof/>
                <w:webHidden/>
              </w:rPr>
              <w:t>9</w:t>
            </w:r>
            <w:r>
              <w:rPr>
                <w:noProof/>
                <w:webHidden/>
              </w:rPr>
              <w:fldChar w:fldCharType="end"/>
            </w:r>
          </w:hyperlink>
        </w:p>
        <w:p w:rsidR="0034703C" w:rsidRDefault="0034703C">
          <w:pPr>
            <w:pStyle w:val="TOC2"/>
            <w:tabs>
              <w:tab w:val="right" w:leader="dot" w:pos="9350"/>
            </w:tabs>
            <w:rPr>
              <w:rFonts w:eastAsiaTheme="minorEastAsia"/>
              <w:noProof/>
            </w:rPr>
          </w:pPr>
          <w:hyperlink w:anchor="_Toc383680489" w:history="1">
            <w:r w:rsidRPr="00375A90">
              <w:rPr>
                <w:rStyle w:val="Hyperlink"/>
                <w:noProof/>
              </w:rPr>
              <w:t>Race/Ethnicity</w:t>
            </w:r>
            <w:r>
              <w:rPr>
                <w:noProof/>
                <w:webHidden/>
              </w:rPr>
              <w:tab/>
            </w:r>
            <w:r>
              <w:rPr>
                <w:noProof/>
                <w:webHidden/>
              </w:rPr>
              <w:fldChar w:fldCharType="begin"/>
            </w:r>
            <w:r>
              <w:rPr>
                <w:noProof/>
                <w:webHidden/>
              </w:rPr>
              <w:instrText xml:space="preserve"> PAGEREF _Toc383680489 \h </w:instrText>
            </w:r>
            <w:r>
              <w:rPr>
                <w:noProof/>
                <w:webHidden/>
              </w:rPr>
            </w:r>
            <w:r>
              <w:rPr>
                <w:noProof/>
                <w:webHidden/>
              </w:rPr>
              <w:fldChar w:fldCharType="separate"/>
            </w:r>
            <w:r>
              <w:rPr>
                <w:noProof/>
                <w:webHidden/>
              </w:rPr>
              <w:t>10</w:t>
            </w:r>
            <w:r>
              <w:rPr>
                <w:noProof/>
                <w:webHidden/>
              </w:rPr>
              <w:fldChar w:fldCharType="end"/>
            </w:r>
          </w:hyperlink>
        </w:p>
        <w:p w:rsidR="0034703C" w:rsidRDefault="0034703C">
          <w:pPr>
            <w:pStyle w:val="TOC2"/>
            <w:tabs>
              <w:tab w:val="right" w:leader="dot" w:pos="9350"/>
            </w:tabs>
            <w:rPr>
              <w:rFonts w:eastAsiaTheme="minorEastAsia"/>
              <w:noProof/>
            </w:rPr>
          </w:pPr>
          <w:hyperlink w:anchor="_Toc383680490" w:history="1">
            <w:r w:rsidRPr="00375A90">
              <w:rPr>
                <w:rStyle w:val="Hyperlink"/>
                <w:noProof/>
              </w:rPr>
              <w:t>Household Size</w:t>
            </w:r>
            <w:r>
              <w:rPr>
                <w:noProof/>
                <w:webHidden/>
              </w:rPr>
              <w:tab/>
            </w:r>
            <w:r>
              <w:rPr>
                <w:noProof/>
                <w:webHidden/>
              </w:rPr>
              <w:fldChar w:fldCharType="begin"/>
            </w:r>
            <w:r>
              <w:rPr>
                <w:noProof/>
                <w:webHidden/>
              </w:rPr>
              <w:instrText xml:space="preserve"> PAGEREF _Toc383680490 \h </w:instrText>
            </w:r>
            <w:r>
              <w:rPr>
                <w:noProof/>
                <w:webHidden/>
              </w:rPr>
            </w:r>
            <w:r>
              <w:rPr>
                <w:noProof/>
                <w:webHidden/>
              </w:rPr>
              <w:fldChar w:fldCharType="separate"/>
            </w:r>
            <w:r>
              <w:rPr>
                <w:noProof/>
                <w:webHidden/>
              </w:rPr>
              <w:t>11</w:t>
            </w:r>
            <w:r>
              <w:rPr>
                <w:noProof/>
                <w:webHidden/>
              </w:rPr>
              <w:fldChar w:fldCharType="end"/>
            </w:r>
          </w:hyperlink>
        </w:p>
        <w:p w:rsidR="0034703C" w:rsidRDefault="0034703C">
          <w:pPr>
            <w:pStyle w:val="TOC2"/>
            <w:tabs>
              <w:tab w:val="right" w:leader="dot" w:pos="9350"/>
            </w:tabs>
            <w:rPr>
              <w:rFonts w:eastAsiaTheme="minorEastAsia"/>
              <w:noProof/>
            </w:rPr>
          </w:pPr>
          <w:hyperlink w:anchor="_Toc383680491" w:history="1">
            <w:r w:rsidRPr="00375A90">
              <w:rPr>
                <w:rStyle w:val="Hyperlink"/>
                <w:noProof/>
              </w:rPr>
              <w:t>Patients in Household</w:t>
            </w:r>
            <w:r>
              <w:rPr>
                <w:noProof/>
                <w:webHidden/>
              </w:rPr>
              <w:tab/>
            </w:r>
            <w:r>
              <w:rPr>
                <w:noProof/>
                <w:webHidden/>
              </w:rPr>
              <w:fldChar w:fldCharType="begin"/>
            </w:r>
            <w:r>
              <w:rPr>
                <w:noProof/>
                <w:webHidden/>
              </w:rPr>
              <w:instrText xml:space="preserve"> PAGEREF _Toc383680491 \h </w:instrText>
            </w:r>
            <w:r>
              <w:rPr>
                <w:noProof/>
                <w:webHidden/>
              </w:rPr>
            </w:r>
            <w:r>
              <w:rPr>
                <w:noProof/>
                <w:webHidden/>
              </w:rPr>
              <w:fldChar w:fldCharType="separate"/>
            </w:r>
            <w:r>
              <w:rPr>
                <w:noProof/>
                <w:webHidden/>
              </w:rPr>
              <w:t>12</w:t>
            </w:r>
            <w:r>
              <w:rPr>
                <w:noProof/>
                <w:webHidden/>
              </w:rPr>
              <w:fldChar w:fldCharType="end"/>
            </w:r>
          </w:hyperlink>
        </w:p>
        <w:p w:rsidR="0034703C" w:rsidRDefault="0034703C">
          <w:pPr>
            <w:pStyle w:val="TOC2"/>
            <w:tabs>
              <w:tab w:val="right" w:leader="dot" w:pos="9350"/>
            </w:tabs>
            <w:rPr>
              <w:rFonts w:eastAsiaTheme="minorEastAsia"/>
              <w:noProof/>
            </w:rPr>
          </w:pPr>
          <w:hyperlink w:anchor="_Toc383680492" w:history="1">
            <w:r w:rsidRPr="00375A90">
              <w:rPr>
                <w:rStyle w:val="Hyperlink"/>
                <w:noProof/>
              </w:rPr>
              <w:t>Income</w:t>
            </w:r>
            <w:r>
              <w:rPr>
                <w:noProof/>
                <w:webHidden/>
              </w:rPr>
              <w:tab/>
            </w:r>
            <w:r>
              <w:rPr>
                <w:noProof/>
                <w:webHidden/>
              </w:rPr>
              <w:fldChar w:fldCharType="begin"/>
            </w:r>
            <w:r>
              <w:rPr>
                <w:noProof/>
                <w:webHidden/>
              </w:rPr>
              <w:instrText xml:space="preserve"> PAGEREF _Toc383680492 \h </w:instrText>
            </w:r>
            <w:r>
              <w:rPr>
                <w:noProof/>
                <w:webHidden/>
              </w:rPr>
            </w:r>
            <w:r>
              <w:rPr>
                <w:noProof/>
                <w:webHidden/>
              </w:rPr>
              <w:fldChar w:fldCharType="separate"/>
            </w:r>
            <w:r>
              <w:rPr>
                <w:noProof/>
                <w:webHidden/>
              </w:rPr>
              <w:t>13</w:t>
            </w:r>
            <w:r>
              <w:rPr>
                <w:noProof/>
                <w:webHidden/>
              </w:rPr>
              <w:fldChar w:fldCharType="end"/>
            </w:r>
          </w:hyperlink>
        </w:p>
        <w:p w:rsidR="0034703C" w:rsidRDefault="0034703C">
          <w:pPr>
            <w:pStyle w:val="TOC1"/>
            <w:tabs>
              <w:tab w:val="right" w:leader="dot" w:pos="9350"/>
            </w:tabs>
            <w:rPr>
              <w:rFonts w:eastAsiaTheme="minorEastAsia"/>
              <w:noProof/>
            </w:rPr>
          </w:pPr>
          <w:hyperlink w:anchor="_Toc383680493" w:history="1">
            <w:r w:rsidRPr="00375A90">
              <w:rPr>
                <w:rStyle w:val="Hyperlink"/>
                <w:noProof/>
              </w:rPr>
              <w:t>Marketing</w:t>
            </w:r>
            <w:r>
              <w:rPr>
                <w:noProof/>
                <w:webHidden/>
              </w:rPr>
              <w:tab/>
            </w:r>
            <w:r>
              <w:rPr>
                <w:noProof/>
                <w:webHidden/>
              </w:rPr>
              <w:fldChar w:fldCharType="begin"/>
            </w:r>
            <w:r>
              <w:rPr>
                <w:noProof/>
                <w:webHidden/>
              </w:rPr>
              <w:instrText xml:space="preserve"> PAGEREF _Toc383680493 \h </w:instrText>
            </w:r>
            <w:r>
              <w:rPr>
                <w:noProof/>
                <w:webHidden/>
              </w:rPr>
            </w:r>
            <w:r>
              <w:rPr>
                <w:noProof/>
                <w:webHidden/>
              </w:rPr>
              <w:fldChar w:fldCharType="separate"/>
            </w:r>
            <w:r>
              <w:rPr>
                <w:noProof/>
                <w:webHidden/>
              </w:rPr>
              <w:t>14</w:t>
            </w:r>
            <w:r>
              <w:rPr>
                <w:noProof/>
                <w:webHidden/>
              </w:rPr>
              <w:fldChar w:fldCharType="end"/>
            </w:r>
          </w:hyperlink>
        </w:p>
        <w:p w:rsidR="0034703C" w:rsidRDefault="0034703C">
          <w:pPr>
            <w:pStyle w:val="TOC2"/>
            <w:tabs>
              <w:tab w:val="right" w:leader="dot" w:pos="9350"/>
            </w:tabs>
            <w:rPr>
              <w:rFonts w:eastAsiaTheme="minorEastAsia"/>
              <w:noProof/>
            </w:rPr>
          </w:pPr>
          <w:hyperlink w:anchor="_Toc383680494" w:history="1">
            <w:r w:rsidRPr="00375A90">
              <w:rPr>
                <w:rStyle w:val="Hyperlink"/>
                <w:noProof/>
              </w:rPr>
              <w:t>How Patients Learned about Services</w:t>
            </w:r>
            <w:r>
              <w:rPr>
                <w:noProof/>
                <w:webHidden/>
              </w:rPr>
              <w:tab/>
            </w:r>
            <w:r>
              <w:rPr>
                <w:noProof/>
                <w:webHidden/>
              </w:rPr>
              <w:fldChar w:fldCharType="begin"/>
            </w:r>
            <w:r>
              <w:rPr>
                <w:noProof/>
                <w:webHidden/>
              </w:rPr>
              <w:instrText xml:space="preserve"> PAGEREF _Toc383680494 \h </w:instrText>
            </w:r>
            <w:r>
              <w:rPr>
                <w:noProof/>
                <w:webHidden/>
              </w:rPr>
            </w:r>
            <w:r>
              <w:rPr>
                <w:noProof/>
                <w:webHidden/>
              </w:rPr>
              <w:fldChar w:fldCharType="separate"/>
            </w:r>
            <w:r>
              <w:rPr>
                <w:noProof/>
                <w:webHidden/>
              </w:rPr>
              <w:t>14</w:t>
            </w:r>
            <w:r>
              <w:rPr>
                <w:noProof/>
                <w:webHidden/>
              </w:rPr>
              <w:fldChar w:fldCharType="end"/>
            </w:r>
          </w:hyperlink>
        </w:p>
        <w:p w:rsidR="0034703C" w:rsidRDefault="0034703C">
          <w:pPr>
            <w:pStyle w:val="TOC2"/>
            <w:tabs>
              <w:tab w:val="right" w:leader="dot" w:pos="9350"/>
            </w:tabs>
            <w:rPr>
              <w:rFonts w:eastAsiaTheme="minorEastAsia"/>
              <w:noProof/>
            </w:rPr>
          </w:pPr>
          <w:hyperlink w:anchor="_Toc383680495" w:history="1">
            <w:r w:rsidRPr="00375A90">
              <w:rPr>
                <w:rStyle w:val="Hyperlink"/>
                <w:noProof/>
              </w:rPr>
              <w:t>Length of Time as a Patient</w:t>
            </w:r>
            <w:r>
              <w:rPr>
                <w:noProof/>
                <w:webHidden/>
              </w:rPr>
              <w:tab/>
            </w:r>
            <w:r>
              <w:rPr>
                <w:noProof/>
                <w:webHidden/>
              </w:rPr>
              <w:fldChar w:fldCharType="begin"/>
            </w:r>
            <w:r>
              <w:rPr>
                <w:noProof/>
                <w:webHidden/>
              </w:rPr>
              <w:instrText xml:space="preserve"> PAGEREF _Toc383680495 \h </w:instrText>
            </w:r>
            <w:r>
              <w:rPr>
                <w:noProof/>
                <w:webHidden/>
              </w:rPr>
            </w:r>
            <w:r>
              <w:rPr>
                <w:noProof/>
                <w:webHidden/>
              </w:rPr>
              <w:fldChar w:fldCharType="separate"/>
            </w:r>
            <w:r>
              <w:rPr>
                <w:noProof/>
                <w:webHidden/>
              </w:rPr>
              <w:t>16</w:t>
            </w:r>
            <w:r>
              <w:rPr>
                <w:noProof/>
                <w:webHidden/>
              </w:rPr>
              <w:fldChar w:fldCharType="end"/>
            </w:r>
          </w:hyperlink>
        </w:p>
        <w:p w:rsidR="0034703C" w:rsidRDefault="0034703C">
          <w:pPr>
            <w:pStyle w:val="TOC2"/>
            <w:tabs>
              <w:tab w:val="right" w:leader="dot" w:pos="9350"/>
            </w:tabs>
            <w:rPr>
              <w:rFonts w:eastAsiaTheme="minorEastAsia"/>
              <w:noProof/>
            </w:rPr>
          </w:pPr>
          <w:hyperlink w:anchor="_Toc383680496" w:history="1">
            <w:r w:rsidRPr="00375A90">
              <w:rPr>
                <w:rStyle w:val="Hyperlink"/>
                <w:noProof/>
              </w:rPr>
              <w:t>Reasons for Coming to UF College of Dentistry</w:t>
            </w:r>
            <w:r>
              <w:rPr>
                <w:noProof/>
                <w:webHidden/>
              </w:rPr>
              <w:tab/>
            </w:r>
            <w:r>
              <w:rPr>
                <w:noProof/>
                <w:webHidden/>
              </w:rPr>
              <w:fldChar w:fldCharType="begin"/>
            </w:r>
            <w:r>
              <w:rPr>
                <w:noProof/>
                <w:webHidden/>
              </w:rPr>
              <w:instrText xml:space="preserve"> PAGEREF _Toc383680496 \h </w:instrText>
            </w:r>
            <w:r>
              <w:rPr>
                <w:noProof/>
                <w:webHidden/>
              </w:rPr>
            </w:r>
            <w:r>
              <w:rPr>
                <w:noProof/>
                <w:webHidden/>
              </w:rPr>
              <w:fldChar w:fldCharType="separate"/>
            </w:r>
            <w:r>
              <w:rPr>
                <w:noProof/>
                <w:webHidden/>
              </w:rPr>
              <w:t>17</w:t>
            </w:r>
            <w:r>
              <w:rPr>
                <w:noProof/>
                <w:webHidden/>
              </w:rPr>
              <w:fldChar w:fldCharType="end"/>
            </w:r>
          </w:hyperlink>
        </w:p>
        <w:p w:rsidR="0034703C" w:rsidRDefault="0034703C">
          <w:pPr>
            <w:pStyle w:val="TOC1"/>
            <w:tabs>
              <w:tab w:val="right" w:leader="dot" w:pos="9350"/>
            </w:tabs>
            <w:rPr>
              <w:rFonts w:eastAsiaTheme="minorEastAsia"/>
              <w:noProof/>
            </w:rPr>
          </w:pPr>
          <w:hyperlink w:anchor="_Toc383680497" w:history="1">
            <w:r w:rsidRPr="00375A90">
              <w:rPr>
                <w:rStyle w:val="Hyperlink"/>
                <w:noProof/>
              </w:rPr>
              <w:t>Patient Services</w:t>
            </w:r>
            <w:r>
              <w:rPr>
                <w:noProof/>
                <w:webHidden/>
              </w:rPr>
              <w:tab/>
            </w:r>
            <w:r>
              <w:rPr>
                <w:noProof/>
                <w:webHidden/>
              </w:rPr>
              <w:fldChar w:fldCharType="begin"/>
            </w:r>
            <w:r>
              <w:rPr>
                <w:noProof/>
                <w:webHidden/>
              </w:rPr>
              <w:instrText xml:space="preserve"> PAGEREF _Toc383680497 \h </w:instrText>
            </w:r>
            <w:r>
              <w:rPr>
                <w:noProof/>
                <w:webHidden/>
              </w:rPr>
            </w:r>
            <w:r>
              <w:rPr>
                <w:noProof/>
                <w:webHidden/>
              </w:rPr>
              <w:fldChar w:fldCharType="separate"/>
            </w:r>
            <w:r>
              <w:rPr>
                <w:noProof/>
                <w:webHidden/>
              </w:rPr>
              <w:t>19</w:t>
            </w:r>
            <w:r>
              <w:rPr>
                <w:noProof/>
                <w:webHidden/>
              </w:rPr>
              <w:fldChar w:fldCharType="end"/>
            </w:r>
          </w:hyperlink>
        </w:p>
        <w:p w:rsidR="0034703C" w:rsidRDefault="0034703C">
          <w:pPr>
            <w:pStyle w:val="TOC2"/>
            <w:tabs>
              <w:tab w:val="right" w:leader="dot" w:pos="9350"/>
            </w:tabs>
            <w:rPr>
              <w:rFonts w:eastAsiaTheme="minorEastAsia"/>
              <w:noProof/>
            </w:rPr>
          </w:pPr>
          <w:hyperlink w:anchor="_Toc383680498" w:history="1">
            <w:r w:rsidRPr="00375A90">
              <w:rPr>
                <w:rStyle w:val="Hyperlink"/>
                <w:noProof/>
              </w:rPr>
              <w:t>Length of Time to First Appointment (2010-2013)</w:t>
            </w:r>
            <w:r>
              <w:rPr>
                <w:noProof/>
                <w:webHidden/>
              </w:rPr>
              <w:tab/>
            </w:r>
            <w:r>
              <w:rPr>
                <w:noProof/>
                <w:webHidden/>
              </w:rPr>
              <w:fldChar w:fldCharType="begin"/>
            </w:r>
            <w:r>
              <w:rPr>
                <w:noProof/>
                <w:webHidden/>
              </w:rPr>
              <w:instrText xml:space="preserve"> PAGEREF _Toc383680498 \h </w:instrText>
            </w:r>
            <w:r>
              <w:rPr>
                <w:noProof/>
                <w:webHidden/>
              </w:rPr>
            </w:r>
            <w:r>
              <w:rPr>
                <w:noProof/>
                <w:webHidden/>
              </w:rPr>
              <w:fldChar w:fldCharType="separate"/>
            </w:r>
            <w:r>
              <w:rPr>
                <w:noProof/>
                <w:webHidden/>
              </w:rPr>
              <w:t>19</w:t>
            </w:r>
            <w:r>
              <w:rPr>
                <w:noProof/>
                <w:webHidden/>
              </w:rPr>
              <w:fldChar w:fldCharType="end"/>
            </w:r>
          </w:hyperlink>
        </w:p>
        <w:p w:rsidR="0034703C" w:rsidRDefault="0034703C">
          <w:pPr>
            <w:pStyle w:val="TOC2"/>
            <w:tabs>
              <w:tab w:val="right" w:leader="dot" w:pos="9350"/>
            </w:tabs>
            <w:rPr>
              <w:rFonts w:eastAsiaTheme="minorEastAsia"/>
              <w:noProof/>
            </w:rPr>
          </w:pPr>
          <w:hyperlink w:anchor="_Toc383680499" w:history="1">
            <w:r w:rsidRPr="00375A90">
              <w:rPr>
                <w:rStyle w:val="Hyperlink"/>
                <w:noProof/>
              </w:rPr>
              <w:t>Time Well-Spent at Clinic (2010-2013)</w:t>
            </w:r>
            <w:r>
              <w:rPr>
                <w:noProof/>
                <w:webHidden/>
              </w:rPr>
              <w:tab/>
            </w:r>
            <w:r>
              <w:rPr>
                <w:noProof/>
                <w:webHidden/>
              </w:rPr>
              <w:fldChar w:fldCharType="begin"/>
            </w:r>
            <w:r>
              <w:rPr>
                <w:noProof/>
                <w:webHidden/>
              </w:rPr>
              <w:instrText xml:space="preserve"> PAGEREF _Toc383680499 \h </w:instrText>
            </w:r>
            <w:r>
              <w:rPr>
                <w:noProof/>
                <w:webHidden/>
              </w:rPr>
            </w:r>
            <w:r>
              <w:rPr>
                <w:noProof/>
                <w:webHidden/>
              </w:rPr>
              <w:fldChar w:fldCharType="separate"/>
            </w:r>
            <w:r>
              <w:rPr>
                <w:noProof/>
                <w:webHidden/>
              </w:rPr>
              <w:t>20</w:t>
            </w:r>
            <w:r>
              <w:rPr>
                <w:noProof/>
                <w:webHidden/>
              </w:rPr>
              <w:fldChar w:fldCharType="end"/>
            </w:r>
          </w:hyperlink>
        </w:p>
        <w:p w:rsidR="0034703C" w:rsidRDefault="0034703C">
          <w:pPr>
            <w:pStyle w:val="TOC2"/>
            <w:tabs>
              <w:tab w:val="right" w:leader="dot" w:pos="9350"/>
            </w:tabs>
            <w:rPr>
              <w:rFonts w:eastAsiaTheme="minorEastAsia"/>
              <w:noProof/>
            </w:rPr>
          </w:pPr>
          <w:hyperlink w:anchor="_Toc383680500" w:history="1">
            <w:r w:rsidRPr="00375A90">
              <w:rPr>
                <w:rStyle w:val="Hyperlink"/>
                <w:noProof/>
              </w:rPr>
              <w:t>Directions for Finding the Clinic (2010-2013)</w:t>
            </w:r>
            <w:r>
              <w:rPr>
                <w:noProof/>
                <w:webHidden/>
              </w:rPr>
              <w:tab/>
            </w:r>
            <w:r>
              <w:rPr>
                <w:noProof/>
                <w:webHidden/>
              </w:rPr>
              <w:fldChar w:fldCharType="begin"/>
            </w:r>
            <w:r>
              <w:rPr>
                <w:noProof/>
                <w:webHidden/>
              </w:rPr>
              <w:instrText xml:space="preserve"> PAGEREF _Toc383680500 \h </w:instrText>
            </w:r>
            <w:r>
              <w:rPr>
                <w:noProof/>
                <w:webHidden/>
              </w:rPr>
            </w:r>
            <w:r>
              <w:rPr>
                <w:noProof/>
                <w:webHidden/>
              </w:rPr>
              <w:fldChar w:fldCharType="separate"/>
            </w:r>
            <w:r>
              <w:rPr>
                <w:noProof/>
                <w:webHidden/>
              </w:rPr>
              <w:t>21</w:t>
            </w:r>
            <w:r>
              <w:rPr>
                <w:noProof/>
                <w:webHidden/>
              </w:rPr>
              <w:fldChar w:fldCharType="end"/>
            </w:r>
          </w:hyperlink>
        </w:p>
        <w:p w:rsidR="0034703C" w:rsidRDefault="0034703C">
          <w:pPr>
            <w:pStyle w:val="TOC2"/>
            <w:tabs>
              <w:tab w:val="right" w:leader="dot" w:pos="9350"/>
            </w:tabs>
            <w:rPr>
              <w:rFonts w:eastAsiaTheme="minorEastAsia"/>
              <w:noProof/>
            </w:rPr>
          </w:pPr>
          <w:hyperlink w:anchor="_Toc383680501" w:history="1">
            <w:r w:rsidRPr="00375A90">
              <w:rPr>
                <w:rStyle w:val="Hyperlink"/>
                <w:noProof/>
              </w:rPr>
              <w:t>Information for Finding Patient Registration (2010-2013)</w:t>
            </w:r>
            <w:r>
              <w:rPr>
                <w:noProof/>
                <w:webHidden/>
              </w:rPr>
              <w:tab/>
            </w:r>
            <w:r>
              <w:rPr>
                <w:noProof/>
                <w:webHidden/>
              </w:rPr>
              <w:fldChar w:fldCharType="begin"/>
            </w:r>
            <w:r>
              <w:rPr>
                <w:noProof/>
                <w:webHidden/>
              </w:rPr>
              <w:instrText xml:space="preserve"> PAGEREF _Toc383680501 \h </w:instrText>
            </w:r>
            <w:r>
              <w:rPr>
                <w:noProof/>
                <w:webHidden/>
              </w:rPr>
            </w:r>
            <w:r>
              <w:rPr>
                <w:noProof/>
                <w:webHidden/>
              </w:rPr>
              <w:fldChar w:fldCharType="separate"/>
            </w:r>
            <w:r>
              <w:rPr>
                <w:noProof/>
                <w:webHidden/>
              </w:rPr>
              <w:t>22</w:t>
            </w:r>
            <w:r>
              <w:rPr>
                <w:noProof/>
                <w:webHidden/>
              </w:rPr>
              <w:fldChar w:fldCharType="end"/>
            </w:r>
          </w:hyperlink>
        </w:p>
        <w:p w:rsidR="0034703C" w:rsidRDefault="0034703C">
          <w:pPr>
            <w:pStyle w:val="TOC2"/>
            <w:tabs>
              <w:tab w:val="right" w:leader="dot" w:pos="9350"/>
            </w:tabs>
            <w:rPr>
              <w:rFonts w:eastAsiaTheme="minorEastAsia"/>
              <w:noProof/>
            </w:rPr>
          </w:pPr>
          <w:hyperlink w:anchor="_Toc383680502" w:history="1">
            <w:r w:rsidRPr="00375A90">
              <w:rPr>
                <w:rStyle w:val="Hyperlink"/>
                <w:noProof/>
              </w:rPr>
              <w:t>Signs for Patient Registration (2012-2013)</w:t>
            </w:r>
            <w:r>
              <w:rPr>
                <w:noProof/>
                <w:webHidden/>
              </w:rPr>
              <w:tab/>
            </w:r>
            <w:r>
              <w:rPr>
                <w:noProof/>
                <w:webHidden/>
              </w:rPr>
              <w:fldChar w:fldCharType="begin"/>
            </w:r>
            <w:r>
              <w:rPr>
                <w:noProof/>
                <w:webHidden/>
              </w:rPr>
              <w:instrText xml:space="preserve"> PAGEREF _Toc383680502 \h </w:instrText>
            </w:r>
            <w:r>
              <w:rPr>
                <w:noProof/>
                <w:webHidden/>
              </w:rPr>
            </w:r>
            <w:r>
              <w:rPr>
                <w:noProof/>
                <w:webHidden/>
              </w:rPr>
              <w:fldChar w:fldCharType="separate"/>
            </w:r>
            <w:r>
              <w:rPr>
                <w:noProof/>
                <w:webHidden/>
              </w:rPr>
              <w:t>23</w:t>
            </w:r>
            <w:r>
              <w:rPr>
                <w:noProof/>
                <w:webHidden/>
              </w:rPr>
              <w:fldChar w:fldCharType="end"/>
            </w:r>
          </w:hyperlink>
        </w:p>
        <w:p w:rsidR="0034703C" w:rsidRDefault="0034703C">
          <w:pPr>
            <w:pStyle w:val="TOC2"/>
            <w:tabs>
              <w:tab w:val="right" w:leader="dot" w:pos="9350"/>
            </w:tabs>
            <w:rPr>
              <w:rFonts w:eastAsiaTheme="minorEastAsia"/>
              <w:noProof/>
            </w:rPr>
          </w:pPr>
          <w:hyperlink w:anchor="_Toc383680503" w:history="1">
            <w:r w:rsidRPr="00375A90">
              <w:rPr>
                <w:rStyle w:val="Hyperlink"/>
                <w:noProof/>
              </w:rPr>
              <w:t>Appearance of Reception Area (2010-2013)</w:t>
            </w:r>
            <w:r>
              <w:rPr>
                <w:noProof/>
                <w:webHidden/>
              </w:rPr>
              <w:tab/>
            </w:r>
            <w:r>
              <w:rPr>
                <w:noProof/>
                <w:webHidden/>
              </w:rPr>
              <w:fldChar w:fldCharType="begin"/>
            </w:r>
            <w:r>
              <w:rPr>
                <w:noProof/>
                <w:webHidden/>
              </w:rPr>
              <w:instrText xml:space="preserve"> PAGEREF _Toc383680503 \h </w:instrText>
            </w:r>
            <w:r>
              <w:rPr>
                <w:noProof/>
                <w:webHidden/>
              </w:rPr>
            </w:r>
            <w:r>
              <w:rPr>
                <w:noProof/>
                <w:webHidden/>
              </w:rPr>
              <w:fldChar w:fldCharType="separate"/>
            </w:r>
            <w:r>
              <w:rPr>
                <w:noProof/>
                <w:webHidden/>
              </w:rPr>
              <w:t>24</w:t>
            </w:r>
            <w:r>
              <w:rPr>
                <w:noProof/>
                <w:webHidden/>
              </w:rPr>
              <w:fldChar w:fldCharType="end"/>
            </w:r>
          </w:hyperlink>
        </w:p>
        <w:p w:rsidR="0034703C" w:rsidRDefault="0034703C">
          <w:pPr>
            <w:pStyle w:val="TOC2"/>
            <w:tabs>
              <w:tab w:val="right" w:leader="dot" w:pos="9350"/>
            </w:tabs>
            <w:rPr>
              <w:rFonts w:eastAsiaTheme="minorEastAsia"/>
              <w:noProof/>
            </w:rPr>
          </w:pPr>
          <w:hyperlink w:anchor="_Toc383680504" w:history="1">
            <w:r w:rsidRPr="00375A90">
              <w:rPr>
                <w:rStyle w:val="Hyperlink"/>
                <w:noProof/>
              </w:rPr>
              <w:t>Cleanliness of Dental Clinics (2010-2013)</w:t>
            </w:r>
            <w:r>
              <w:rPr>
                <w:noProof/>
                <w:webHidden/>
              </w:rPr>
              <w:tab/>
            </w:r>
            <w:r>
              <w:rPr>
                <w:noProof/>
                <w:webHidden/>
              </w:rPr>
              <w:fldChar w:fldCharType="begin"/>
            </w:r>
            <w:r>
              <w:rPr>
                <w:noProof/>
                <w:webHidden/>
              </w:rPr>
              <w:instrText xml:space="preserve"> PAGEREF _Toc383680504 \h </w:instrText>
            </w:r>
            <w:r>
              <w:rPr>
                <w:noProof/>
                <w:webHidden/>
              </w:rPr>
            </w:r>
            <w:r>
              <w:rPr>
                <w:noProof/>
                <w:webHidden/>
              </w:rPr>
              <w:fldChar w:fldCharType="separate"/>
            </w:r>
            <w:r>
              <w:rPr>
                <w:noProof/>
                <w:webHidden/>
              </w:rPr>
              <w:t>25</w:t>
            </w:r>
            <w:r>
              <w:rPr>
                <w:noProof/>
                <w:webHidden/>
              </w:rPr>
              <w:fldChar w:fldCharType="end"/>
            </w:r>
          </w:hyperlink>
        </w:p>
        <w:p w:rsidR="0034703C" w:rsidRDefault="0034703C">
          <w:pPr>
            <w:pStyle w:val="TOC2"/>
            <w:tabs>
              <w:tab w:val="right" w:leader="dot" w:pos="9350"/>
            </w:tabs>
            <w:rPr>
              <w:rFonts w:eastAsiaTheme="minorEastAsia"/>
              <w:noProof/>
            </w:rPr>
          </w:pPr>
          <w:hyperlink w:anchor="_Toc383680505" w:history="1">
            <w:r w:rsidRPr="00375A90">
              <w:rPr>
                <w:rStyle w:val="Hyperlink"/>
                <w:noProof/>
              </w:rPr>
              <w:t>Cleanliness of Restrooms (2012-2013)</w:t>
            </w:r>
            <w:r>
              <w:rPr>
                <w:noProof/>
                <w:webHidden/>
              </w:rPr>
              <w:tab/>
            </w:r>
            <w:r>
              <w:rPr>
                <w:noProof/>
                <w:webHidden/>
              </w:rPr>
              <w:fldChar w:fldCharType="begin"/>
            </w:r>
            <w:r>
              <w:rPr>
                <w:noProof/>
                <w:webHidden/>
              </w:rPr>
              <w:instrText xml:space="preserve"> PAGEREF _Toc383680505 \h </w:instrText>
            </w:r>
            <w:r>
              <w:rPr>
                <w:noProof/>
                <w:webHidden/>
              </w:rPr>
            </w:r>
            <w:r>
              <w:rPr>
                <w:noProof/>
                <w:webHidden/>
              </w:rPr>
              <w:fldChar w:fldCharType="separate"/>
            </w:r>
            <w:r>
              <w:rPr>
                <w:noProof/>
                <w:webHidden/>
              </w:rPr>
              <w:t>26</w:t>
            </w:r>
            <w:r>
              <w:rPr>
                <w:noProof/>
                <w:webHidden/>
              </w:rPr>
              <w:fldChar w:fldCharType="end"/>
            </w:r>
          </w:hyperlink>
        </w:p>
        <w:p w:rsidR="0034703C" w:rsidRDefault="0034703C">
          <w:pPr>
            <w:pStyle w:val="TOC2"/>
            <w:tabs>
              <w:tab w:val="right" w:leader="dot" w:pos="9350"/>
            </w:tabs>
            <w:rPr>
              <w:rFonts w:eastAsiaTheme="minorEastAsia"/>
              <w:noProof/>
            </w:rPr>
          </w:pPr>
          <w:hyperlink w:anchor="_Toc383680506" w:history="1">
            <w:r w:rsidRPr="00375A90">
              <w:rPr>
                <w:rStyle w:val="Hyperlink"/>
                <w:noProof/>
              </w:rPr>
              <w:t>Overall Quality of Care</w:t>
            </w:r>
            <w:r>
              <w:rPr>
                <w:noProof/>
                <w:webHidden/>
              </w:rPr>
              <w:tab/>
            </w:r>
            <w:r>
              <w:rPr>
                <w:noProof/>
                <w:webHidden/>
              </w:rPr>
              <w:fldChar w:fldCharType="begin"/>
            </w:r>
            <w:r>
              <w:rPr>
                <w:noProof/>
                <w:webHidden/>
              </w:rPr>
              <w:instrText xml:space="preserve"> PAGEREF _Toc383680506 \h </w:instrText>
            </w:r>
            <w:r>
              <w:rPr>
                <w:noProof/>
                <w:webHidden/>
              </w:rPr>
            </w:r>
            <w:r>
              <w:rPr>
                <w:noProof/>
                <w:webHidden/>
              </w:rPr>
              <w:fldChar w:fldCharType="separate"/>
            </w:r>
            <w:r>
              <w:rPr>
                <w:noProof/>
                <w:webHidden/>
              </w:rPr>
              <w:t>27</w:t>
            </w:r>
            <w:r>
              <w:rPr>
                <w:noProof/>
                <w:webHidden/>
              </w:rPr>
              <w:fldChar w:fldCharType="end"/>
            </w:r>
          </w:hyperlink>
        </w:p>
        <w:p w:rsidR="0034703C" w:rsidRDefault="0034703C">
          <w:pPr>
            <w:pStyle w:val="TOC2"/>
            <w:tabs>
              <w:tab w:val="right" w:leader="dot" w:pos="9350"/>
            </w:tabs>
            <w:rPr>
              <w:rFonts w:eastAsiaTheme="minorEastAsia"/>
              <w:noProof/>
            </w:rPr>
          </w:pPr>
          <w:hyperlink w:anchor="_Toc383680507" w:history="1">
            <w:r w:rsidRPr="00375A90">
              <w:rPr>
                <w:rStyle w:val="Hyperlink"/>
                <w:noProof/>
              </w:rPr>
              <w:t>Treatment by Dental Care Provider (2010-2013)</w:t>
            </w:r>
            <w:r>
              <w:rPr>
                <w:noProof/>
                <w:webHidden/>
              </w:rPr>
              <w:tab/>
            </w:r>
            <w:r>
              <w:rPr>
                <w:noProof/>
                <w:webHidden/>
              </w:rPr>
              <w:fldChar w:fldCharType="begin"/>
            </w:r>
            <w:r>
              <w:rPr>
                <w:noProof/>
                <w:webHidden/>
              </w:rPr>
              <w:instrText xml:space="preserve"> PAGEREF _Toc383680507 \h </w:instrText>
            </w:r>
            <w:r>
              <w:rPr>
                <w:noProof/>
                <w:webHidden/>
              </w:rPr>
            </w:r>
            <w:r>
              <w:rPr>
                <w:noProof/>
                <w:webHidden/>
              </w:rPr>
              <w:fldChar w:fldCharType="separate"/>
            </w:r>
            <w:r>
              <w:rPr>
                <w:noProof/>
                <w:webHidden/>
              </w:rPr>
              <w:t>28</w:t>
            </w:r>
            <w:r>
              <w:rPr>
                <w:noProof/>
                <w:webHidden/>
              </w:rPr>
              <w:fldChar w:fldCharType="end"/>
            </w:r>
          </w:hyperlink>
        </w:p>
        <w:p w:rsidR="0034703C" w:rsidRDefault="0034703C">
          <w:pPr>
            <w:pStyle w:val="TOC2"/>
            <w:tabs>
              <w:tab w:val="right" w:leader="dot" w:pos="9350"/>
            </w:tabs>
            <w:rPr>
              <w:rFonts w:eastAsiaTheme="minorEastAsia"/>
              <w:noProof/>
            </w:rPr>
          </w:pPr>
          <w:hyperlink w:anchor="_Toc383680508" w:history="1">
            <w:r w:rsidRPr="00375A90">
              <w:rPr>
                <w:rStyle w:val="Hyperlink"/>
                <w:noProof/>
              </w:rPr>
              <w:t>Treatment by Dental Care Provider</w:t>
            </w:r>
            <w:r>
              <w:rPr>
                <w:noProof/>
                <w:webHidden/>
              </w:rPr>
              <w:tab/>
            </w:r>
            <w:r>
              <w:rPr>
                <w:noProof/>
                <w:webHidden/>
              </w:rPr>
              <w:fldChar w:fldCharType="begin"/>
            </w:r>
            <w:r>
              <w:rPr>
                <w:noProof/>
                <w:webHidden/>
              </w:rPr>
              <w:instrText xml:space="preserve"> PAGEREF _Toc383680508 \h </w:instrText>
            </w:r>
            <w:r>
              <w:rPr>
                <w:noProof/>
                <w:webHidden/>
              </w:rPr>
            </w:r>
            <w:r>
              <w:rPr>
                <w:noProof/>
                <w:webHidden/>
              </w:rPr>
              <w:fldChar w:fldCharType="separate"/>
            </w:r>
            <w:r>
              <w:rPr>
                <w:noProof/>
                <w:webHidden/>
              </w:rPr>
              <w:t>28</w:t>
            </w:r>
            <w:r>
              <w:rPr>
                <w:noProof/>
                <w:webHidden/>
              </w:rPr>
              <w:fldChar w:fldCharType="end"/>
            </w:r>
          </w:hyperlink>
        </w:p>
        <w:p w:rsidR="0034703C" w:rsidRDefault="0034703C">
          <w:pPr>
            <w:pStyle w:val="TOC2"/>
            <w:tabs>
              <w:tab w:val="right" w:leader="dot" w:pos="9350"/>
            </w:tabs>
            <w:rPr>
              <w:rFonts w:eastAsiaTheme="minorEastAsia"/>
              <w:noProof/>
            </w:rPr>
          </w:pPr>
          <w:hyperlink w:anchor="_Toc383680509" w:history="1">
            <w:r w:rsidRPr="00375A90">
              <w:rPr>
                <w:rStyle w:val="Hyperlink"/>
                <w:noProof/>
              </w:rPr>
              <w:t>Treatment when Calling the College of Dentistry (2010-2013)</w:t>
            </w:r>
            <w:r>
              <w:rPr>
                <w:noProof/>
                <w:webHidden/>
              </w:rPr>
              <w:tab/>
            </w:r>
            <w:r>
              <w:rPr>
                <w:noProof/>
                <w:webHidden/>
              </w:rPr>
              <w:fldChar w:fldCharType="begin"/>
            </w:r>
            <w:r>
              <w:rPr>
                <w:noProof/>
                <w:webHidden/>
              </w:rPr>
              <w:instrText xml:space="preserve"> PAGEREF _Toc383680509 \h </w:instrText>
            </w:r>
            <w:r>
              <w:rPr>
                <w:noProof/>
                <w:webHidden/>
              </w:rPr>
            </w:r>
            <w:r>
              <w:rPr>
                <w:noProof/>
                <w:webHidden/>
              </w:rPr>
              <w:fldChar w:fldCharType="separate"/>
            </w:r>
            <w:r>
              <w:rPr>
                <w:noProof/>
                <w:webHidden/>
              </w:rPr>
              <w:t>29</w:t>
            </w:r>
            <w:r>
              <w:rPr>
                <w:noProof/>
                <w:webHidden/>
              </w:rPr>
              <w:fldChar w:fldCharType="end"/>
            </w:r>
          </w:hyperlink>
        </w:p>
        <w:p w:rsidR="0034703C" w:rsidRDefault="0034703C">
          <w:pPr>
            <w:pStyle w:val="TOC2"/>
            <w:tabs>
              <w:tab w:val="right" w:leader="dot" w:pos="9350"/>
            </w:tabs>
            <w:rPr>
              <w:rFonts w:eastAsiaTheme="minorEastAsia"/>
              <w:noProof/>
            </w:rPr>
          </w:pPr>
          <w:hyperlink w:anchor="_Toc383680510" w:history="1">
            <w:r w:rsidRPr="00375A90">
              <w:rPr>
                <w:rStyle w:val="Hyperlink"/>
                <w:noProof/>
              </w:rPr>
              <w:t>Treatment by Staff (2010-2013)</w:t>
            </w:r>
            <w:r>
              <w:rPr>
                <w:noProof/>
                <w:webHidden/>
              </w:rPr>
              <w:tab/>
            </w:r>
            <w:r>
              <w:rPr>
                <w:noProof/>
                <w:webHidden/>
              </w:rPr>
              <w:fldChar w:fldCharType="begin"/>
            </w:r>
            <w:r>
              <w:rPr>
                <w:noProof/>
                <w:webHidden/>
              </w:rPr>
              <w:instrText xml:space="preserve"> PAGEREF _Toc383680510 \h </w:instrText>
            </w:r>
            <w:r>
              <w:rPr>
                <w:noProof/>
                <w:webHidden/>
              </w:rPr>
            </w:r>
            <w:r>
              <w:rPr>
                <w:noProof/>
                <w:webHidden/>
              </w:rPr>
              <w:fldChar w:fldCharType="separate"/>
            </w:r>
            <w:r>
              <w:rPr>
                <w:noProof/>
                <w:webHidden/>
              </w:rPr>
              <w:t>30</w:t>
            </w:r>
            <w:r>
              <w:rPr>
                <w:noProof/>
                <w:webHidden/>
              </w:rPr>
              <w:fldChar w:fldCharType="end"/>
            </w:r>
          </w:hyperlink>
        </w:p>
        <w:p w:rsidR="0034703C" w:rsidRDefault="0034703C">
          <w:pPr>
            <w:pStyle w:val="TOC1"/>
            <w:tabs>
              <w:tab w:val="right" w:leader="dot" w:pos="9350"/>
            </w:tabs>
            <w:rPr>
              <w:rFonts w:eastAsiaTheme="minorEastAsia"/>
              <w:noProof/>
            </w:rPr>
          </w:pPr>
          <w:hyperlink w:anchor="_Toc383680511" w:history="1">
            <w:r w:rsidRPr="00375A90">
              <w:rPr>
                <w:rStyle w:val="Hyperlink"/>
                <w:noProof/>
              </w:rPr>
              <w:t>Comments</w:t>
            </w:r>
            <w:r>
              <w:rPr>
                <w:noProof/>
                <w:webHidden/>
              </w:rPr>
              <w:tab/>
            </w:r>
            <w:r>
              <w:rPr>
                <w:noProof/>
                <w:webHidden/>
              </w:rPr>
              <w:fldChar w:fldCharType="begin"/>
            </w:r>
            <w:r>
              <w:rPr>
                <w:noProof/>
                <w:webHidden/>
              </w:rPr>
              <w:instrText xml:space="preserve"> PAGEREF _Toc383680511 \h </w:instrText>
            </w:r>
            <w:r>
              <w:rPr>
                <w:noProof/>
                <w:webHidden/>
              </w:rPr>
            </w:r>
            <w:r>
              <w:rPr>
                <w:noProof/>
                <w:webHidden/>
              </w:rPr>
              <w:fldChar w:fldCharType="separate"/>
            </w:r>
            <w:r>
              <w:rPr>
                <w:noProof/>
                <w:webHidden/>
              </w:rPr>
              <w:t>31</w:t>
            </w:r>
            <w:r>
              <w:rPr>
                <w:noProof/>
                <w:webHidden/>
              </w:rPr>
              <w:fldChar w:fldCharType="end"/>
            </w:r>
          </w:hyperlink>
        </w:p>
        <w:p w:rsidR="0034703C" w:rsidRDefault="0034703C">
          <w:pPr>
            <w:pStyle w:val="TOC2"/>
            <w:tabs>
              <w:tab w:val="right" w:leader="dot" w:pos="9350"/>
            </w:tabs>
            <w:rPr>
              <w:rFonts w:eastAsiaTheme="minorEastAsia"/>
              <w:noProof/>
            </w:rPr>
          </w:pPr>
          <w:hyperlink w:anchor="_Toc383680512" w:history="1">
            <w:r w:rsidRPr="00375A90">
              <w:rPr>
                <w:rStyle w:val="Hyperlink"/>
                <w:noProof/>
              </w:rPr>
              <w:t>What do you like most?</w:t>
            </w:r>
            <w:r>
              <w:rPr>
                <w:noProof/>
                <w:webHidden/>
              </w:rPr>
              <w:tab/>
            </w:r>
            <w:r>
              <w:rPr>
                <w:noProof/>
                <w:webHidden/>
              </w:rPr>
              <w:fldChar w:fldCharType="begin"/>
            </w:r>
            <w:r>
              <w:rPr>
                <w:noProof/>
                <w:webHidden/>
              </w:rPr>
              <w:instrText xml:space="preserve"> PAGEREF _Toc383680512 \h </w:instrText>
            </w:r>
            <w:r>
              <w:rPr>
                <w:noProof/>
                <w:webHidden/>
              </w:rPr>
            </w:r>
            <w:r>
              <w:rPr>
                <w:noProof/>
                <w:webHidden/>
              </w:rPr>
              <w:fldChar w:fldCharType="separate"/>
            </w:r>
            <w:r>
              <w:rPr>
                <w:noProof/>
                <w:webHidden/>
              </w:rPr>
              <w:t>31</w:t>
            </w:r>
            <w:r>
              <w:rPr>
                <w:noProof/>
                <w:webHidden/>
              </w:rPr>
              <w:fldChar w:fldCharType="end"/>
            </w:r>
          </w:hyperlink>
        </w:p>
        <w:p w:rsidR="0034703C" w:rsidRDefault="0034703C">
          <w:pPr>
            <w:pStyle w:val="TOC2"/>
            <w:tabs>
              <w:tab w:val="right" w:leader="dot" w:pos="9350"/>
            </w:tabs>
            <w:rPr>
              <w:rFonts w:eastAsiaTheme="minorEastAsia"/>
              <w:noProof/>
            </w:rPr>
          </w:pPr>
          <w:hyperlink w:anchor="_Toc383680513" w:history="1">
            <w:r w:rsidRPr="00375A90">
              <w:rPr>
                <w:rStyle w:val="Hyperlink"/>
                <w:noProof/>
              </w:rPr>
              <w:t>Possible Improvements</w:t>
            </w:r>
            <w:r>
              <w:rPr>
                <w:noProof/>
                <w:webHidden/>
              </w:rPr>
              <w:tab/>
            </w:r>
            <w:r>
              <w:rPr>
                <w:noProof/>
                <w:webHidden/>
              </w:rPr>
              <w:fldChar w:fldCharType="begin"/>
            </w:r>
            <w:r>
              <w:rPr>
                <w:noProof/>
                <w:webHidden/>
              </w:rPr>
              <w:instrText xml:space="preserve"> PAGEREF _Toc383680513 \h </w:instrText>
            </w:r>
            <w:r>
              <w:rPr>
                <w:noProof/>
                <w:webHidden/>
              </w:rPr>
            </w:r>
            <w:r>
              <w:rPr>
                <w:noProof/>
                <w:webHidden/>
              </w:rPr>
              <w:fldChar w:fldCharType="separate"/>
            </w:r>
            <w:r>
              <w:rPr>
                <w:noProof/>
                <w:webHidden/>
              </w:rPr>
              <w:t>32</w:t>
            </w:r>
            <w:r>
              <w:rPr>
                <w:noProof/>
                <w:webHidden/>
              </w:rPr>
              <w:fldChar w:fldCharType="end"/>
            </w:r>
          </w:hyperlink>
        </w:p>
        <w:p w:rsidR="00BE58AE" w:rsidRDefault="0034703C" w:rsidP="0034703C">
          <w:pPr>
            <w:pStyle w:val="TOC2"/>
            <w:tabs>
              <w:tab w:val="right" w:leader="dot" w:pos="9350"/>
            </w:tabs>
          </w:pPr>
          <w:hyperlink w:anchor="_Toc383680514" w:history="1">
            <w:r w:rsidRPr="00375A90">
              <w:rPr>
                <w:rStyle w:val="Hyperlink"/>
                <w:noProof/>
              </w:rPr>
              <w:t>Additional Comments</w:t>
            </w:r>
            <w:r>
              <w:rPr>
                <w:noProof/>
                <w:webHidden/>
              </w:rPr>
              <w:tab/>
            </w:r>
            <w:r>
              <w:rPr>
                <w:noProof/>
                <w:webHidden/>
              </w:rPr>
              <w:fldChar w:fldCharType="begin"/>
            </w:r>
            <w:r>
              <w:rPr>
                <w:noProof/>
                <w:webHidden/>
              </w:rPr>
              <w:instrText xml:space="preserve"> PAGEREF _Toc383680514 \h </w:instrText>
            </w:r>
            <w:r>
              <w:rPr>
                <w:noProof/>
                <w:webHidden/>
              </w:rPr>
            </w:r>
            <w:r>
              <w:rPr>
                <w:noProof/>
                <w:webHidden/>
              </w:rPr>
              <w:fldChar w:fldCharType="separate"/>
            </w:r>
            <w:r>
              <w:rPr>
                <w:noProof/>
                <w:webHidden/>
              </w:rPr>
              <w:t>34</w:t>
            </w:r>
            <w:r>
              <w:rPr>
                <w:noProof/>
                <w:webHidden/>
              </w:rPr>
              <w:fldChar w:fldCharType="end"/>
            </w:r>
          </w:hyperlink>
          <w:r w:rsidR="00BE58AE">
            <w:rPr>
              <w:b/>
              <w:bCs/>
              <w:noProof/>
            </w:rPr>
            <w:fldChar w:fldCharType="end"/>
          </w:r>
        </w:p>
      </w:sdtContent>
    </w:sdt>
    <w:p w:rsidR="000A15A2" w:rsidRDefault="00EA6881" w:rsidP="00BC2AC0">
      <w:pPr>
        <w:pStyle w:val="Heading1"/>
        <w:spacing w:before="0"/>
      </w:pPr>
      <w:bookmarkStart w:id="0" w:name="_Toc383680481"/>
      <w:r>
        <w:lastRenderedPageBreak/>
        <w:t>Introduction</w:t>
      </w:r>
      <w:bookmarkEnd w:id="0"/>
    </w:p>
    <w:p w:rsidR="00BC2AC0" w:rsidRDefault="00BC2AC0" w:rsidP="00EA6881">
      <w:pPr>
        <w:pStyle w:val="NoSpacing"/>
      </w:pPr>
    </w:p>
    <w:p w:rsidR="00EA6881" w:rsidRDefault="00EA6881" w:rsidP="00EA6881">
      <w:pPr>
        <w:pStyle w:val="NoSpacing"/>
      </w:pPr>
      <w:r>
        <w:t>The University of Florida College of Dentistry conducts a ‘Patient Satisfaction Survey’ during a one-wee</w:t>
      </w:r>
      <w:bookmarkStart w:id="1" w:name="_GoBack"/>
      <w:bookmarkEnd w:id="1"/>
      <w:r>
        <w:t xml:space="preserve">k period each year.  A two-page survey is distributed to patients at this time.  Completed surveys are collected, data reduced, and analyzed.  </w:t>
      </w:r>
      <w:r w:rsidR="00BC2AC0">
        <w:t xml:space="preserve">This report presents a </w:t>
      </w:r>
      <w:r>
        <w:t>summary of the results of the UF College of Dentistry Patient Satisfaction Survey</w:t>
      </w:r>
      <w:r w:rsidR="00BC2AC0">
        <w:t xml:space="preserve"> for 200</w:t>
      </w:r>
      <w:r w:rsidR="00DB5DC5">
        <w:t>9</w:t>
      </w:r>
      <w:r w:rsidR="00BC2AC0">
        <w:t xml:space="preserve"> through 201</w:t>
      </w:r>
      <w:r w:rsidR="00DB5DC5">
        <w:t>3</w:t>
      </w:r>
      <w:r w:rsidR="00BC2AC0">
        <w:t>.</w:t>
      </w:r>
      <w:r w:rsidR="00AA32AA">
        <w:t xml:space="preserve">  [Please note that not all data are available for all years.]</w:t>
      </w:r>
    </w:p>
    <w:p w:rsidR="00BC2AC0" w:rsidRDefault="00BC2AC0" w:rsidP="00EA6881">
      <w:pPr>
        <w:pStyle w:val="NoSpacing"/>
      </w:pPr>
    </w:p>
    <w:p w:rsidR="00BC2AC0" w:rsidRDefault="00BC2AC0" w:rsidP="00BC2AC0">
      <w:pPr>
        <w:pStyle w:val="Heading2"/>
      </w:pPr>
      <w:bookmarkStart w:id="2" w:name="_Toc383680482"/>
      <w:r>
        <w:t>Number of Surveys Completed</w:t>
      </w:r>
      <w:bookmarkEnd w:id="2"/>
    </w:p>
    <w:p w:rsidR="00BC2AC0" w:rsidRDefault="00BC2AC0" w:rsidP="00EA6881">
      <w:pPr>
        <w:pStyle w:val="NoSpacing"/>
      </w:pPr>
    </w:p>
    <w:p w:rsidR="00BC2AC0" w:rsidRDefault="00BC2AC0" w:rsidP="00BC2AC0">
      <w:pPr>
        <w:pStyle w:val="NoSpacing"/>
        <w:jc w:val="center"/>
      </w:pPr>
      <w:r>
        <w:rPr>
          <w:noProof/>
        </w:rPr>
        <w:drawing>
          <wp:inline distT="0" distB="0" distL="0" distR="0" wp14:anchorId="451C9832" wp14:editId="75078390">
            <wp:extent cx="5486400" cy="3200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33AC" w:rsidRDefault="008A33AC">
      <w:pPr>
        <w:spacing w:after="200" w:line="276" w:lineRule="auto"/>
      </w:pPr>
    </w:p>
    <w:p w:rsidR="008A33AC" w:rsidRDefault="008A33AC" w:rsidP="008A33AC">
      <w:r>
        <w:t xml:space="preserve">The number of patient satisfaction surveys completed each year increased from </w:t>
      </w:r>
      <w:r w:rsidR="00DB5DC5">
        <w:t>677</w:t>
      </w:r>
      <w:r>
        <w:t xml:space="preserve"> in 200</w:t>
      </w:r>
      <w:r w:rsidR="00DB5DC5">
        <w:t>9</w:t>
      </w:r>
      <w:r>
        <w:t xml:space="preserve"> to </w:t>
      </w:r>
      <w:r w:rsidR="00D95DA6">
        <w:t>around one thousand from 2010 through 2012</w:t>
      </w:r>
      <w:r>
        <w:t xml:space="preserve">.  </w:t>
      </w:r>
      <w:r w:rsidR="003B6599">
        <w:t>In 201</w:t>
      </w:r>
      <w:r w:rsidR="00D95DA6">
        <w:t>3</w:t>
      </w:r>
      <w:r w:rsidR="003B6599">
        <w:t xml:space="preserve">, </w:t>
      </w:r>
      <w:r w:rsidR="00650FE2">
        <w:t xml:space="preserve">of the 1,507 surveys submitted, </w:t>
      </w:r>
      <w:r w:rsidR="003B6599">
        <w:t xml:space="preserve">the total number of usable surveys </w:t>
      </w:r>
      <w:r w:rsidR="00650FE2">
        <w:t>was</w:t>
      </w:r>
      <w:r w:rsidR="003B6599">
        <w:t xml:space="preserve"> </w:t>
      </w:r>
      <w:r w:rsidR="00D95DA6">
        <w:t>1</w:t>
      </w:r>
      <w:r w:rsidR="00650FE2">
        <w:t>,</w:t>
      </w:r>
      <w:r w:rsidR="00052B9F">
        <w:t>414</w:t>
      </w:r>
      <w:r w:rsidR="003B6599">
        <w:t xml:space="preserve">.  </w:t>
      </w:r>
      <w:r>
        <w:t xml:space="preserve">The </w:t>
      </w:r>
      <w:r w:rsidR="003B6599">
        <w:t xml:space="preserve">overall </w:t>
      </w:r>
      <w:r>
        <w:t>increase in the number of patients who complete surveys permits a more detailed analysis, particularly of the results by the different clinics.</w:t>
      </w:r>
    </w:p>
    <w:p w:rsidR="00FD6E36" w:rsidRDefault="00FD6E36">
      <w:pPr>
        <w:spacing w:after="200" w:line="276" w:lineRule="auto"/>
        <w:rPr>
          <w:rFonts w:asciiTheme="majorHAnsi" w:eastAsiaTheme="majorEastAsia" w:hAnsiTheme="majorHAnsi" w:cstheme="majorBidi"/>
          <w:b/>
          <w:bCs/>
          <w:color w:val="4F81BD" w:themeColor="accent1"/>
          <w:sz w:val="26"/>
          <w:szCs w:val="26"/>
        </w:rPr>
      </w:pPr>
      <w:r>
        <w:br w:type="page"/>
      </w:r>
    </w:p>
    <w:p w:rsidR="008F2A5E" w:rsidRDefault="00705084" w:rsidP="00AA32AA">
      <w:pPr>
        <w:pStyle w:val="Heading2"/>
      </w:pPr>
      <w:bookmarkStart w:id="3" w:name="_Toc383680483"/>
      <w:r>
        <w:lastRenderedPageBreak/>
        <w:t>Percentage of Surveys Completed to Patients Seen</w:t>
      </w:r>
      <w:r w:rsidR="008F2A5E">
        <w:t xml:space="preserve"> by Clinics</w:t>
      </w:r>
      <w:r w:rsidR="00924020">
        <w:t xml:space="preserve"> (</w:t>
      </w:r>
      <w:r w:rsidR="00064EAA">
        <w:t>2010</w:t>
      </w:r>
      <w:r w:rsidR="003B6599">
        <w:t>-</w:t>
      </w:r>
      <w:r w:rsidR="00924020">
        <w:t>201</w:t>
      </w:r>
      <w:r w:rsidR="00BE58AE">
        <w:t>3</w:t>
      </w:r>
      <w:r w:rsidR="00C94F82">
        <w:t>)</w:t>
      </w:r>
      <w:bookmarkEnd w:id="3"/>
    </w:p>
    <w:p w:rsidR="00C94F82" w:rsidRDefault="00C94F82" w:rsidP="00C94F82"/>
    <w:p w:rsidR="00705084" w:rsidRPr="00705084" w:rsidRDefault="00705084" w:rsidP="00705084">
      <w:pPr>
        <w:pStyle w:val="NoSpacing"/>
      </w:pPr>
      <w:r>
        <w:t>The following table shows the percentage of Patient Satisfaction Surveys completed per the number of patients seen by clinic</w:t>
      </w:r>
      <w:r w:rsidR="000A15A2">
        <w:t xml:space="preserve"> for student clinics</w:t>
      </w:r>
      <w:r>
        <w:t>.</w:t>
      </w:r>
    </w:p>
    <w:p w:rsidR="00705084" w:rsidRPr="00705084" w:rsidRDefault="00705084" w:rsidP="00705084">
      <w:pPr>
        <w:pStyle w:val="NoSpacing"/>
      </w:pPr>
    </w:p>
    <w:p w:rsidR="00C94F82" w:rsidRDefault="00C94F82" w:rsidP="00705084">
      <w:pPr>
        <w:pStyle w:val="NoSpacing"/>
        <w:jc w:val="center"/>
      </w:pPr>
      <w:r>
        <w:rPr>
          <w:noProof/>
        </w:rPr>
        <w:drawing>
          <wp:inline distT="0" distB="0" distL="0" distR="0" wp14:anchorId="3C4F1D81" wp14:editId="422BB0CF">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534C" w:rsidRDefault="0011534C" w:rsidP="0011534C">
      <w:pPr>
        <w:pStyle w:val="NoSpacing"/>
      </w:pPr>
    </w:p>
    <w:p w:rsidR="00E341AC" w:rsidRDefault="0062004E" w:rsidP="00B6750C">
      <w:r>
        <w:t>In 201</w:t>
      </w:r>
      <w:r w:rsidR="009D7A93">
        <w:t>3</w:t>
      </w:r>
      <w:r>
        <w:t xml:space="preserve">, </w:t>
      </w:r>
      <w:r w:rsidR="009D7A93">
        <w:t>three</w:t>
      </w:r>
      <w:r>
        <w:t xml:space="preserve"> of the </w:t>
      </w:r>
      <w:r w:rsidR="009D7A93">
        <w:t>four</w:t>
      </w:r>
      <w:r w:rsidR="00924020">
        <w:t xml:space="preserve"> </w:t>
      </w:r>
      <w:r w:rsidR="004023D2">
        <w:t xml:space="preserve">Student </w:t>
      </w:r>
      <w:r w:rsidR="0011534C">
        <w:t xml:space="preserve">Clinics completed surveys </w:t>
      </w:r>
      <w:r w:rsidR="00E341AC">
        <w:t>with</w:t>
      </w:r>
      <w:r w:rsidR="004023D2">
        <w:t xml:space="preserve"> </w:t>
      </w:r>
      <w:r w:rsidR="009D7A93">
        <w:t xml:space="preserve">about </w:t>
      </w:r>
      <w:r w:rsidR="00B6750C">
        <w:t>three-fifths</w:t>
      </w:r>
      <w:r w:rsidR="0011534C">
        <w:t xml:space="preserve"> of the patients who visited the clinic during the study period</w:t>
      </w:r>
      <w:r w:rsidR="00B6750C">
        <w:t>: Clinic 2A (6</w:t>
      </w:r>
      <w:r w:rsidR="009D7A93">
        <w:t>2.2</w:t>
      </w:r>
      <w:r w:rsidR="00B6750C">
        <w:t>%), Clinic 3A (</w:t>
      </w:r>
      <w:r w:rsidR="009D7A93">
        <w:t>62.1</w:t>
      </w:r>
      <w:r w:rsidR="00B6750C">
        <w:t>%)</w:t>
      </w:r>
      <w:r w:rsidR="009D7A93">
        <w:t xml:space="preserve">, and Clinic 3B (56.0%). </w:t>
      </w:r>
      <w:r w:rsidR="00B6750C">
        <w:t xml:space="preserve"> </w:t>
      </w:r>
      <w:r w:rsidR="009D7A93">
        <w:t>C</w:t>
      </w:r>
      <w:r w:rsidR="00B6750C">
        <w:t xml:space="preserve">linic </w:t>
      </w:r>
      <w:r w:rsidR="00E27A77">
        <w:t>2B</w:t>
      </w:r>
      <w:r w:rsidR="00B6750C">
        <w:t xml:space="preserve">, however, completed surveys with nearly </w:t>
      </w:r>
      <w:r w:rsidR="009D7A93">
        <w:t>three-quarters</w:t>
      </w:r>
      <w:r w:rsidR="00B6750C">
        <w:t xml:space="preserve"> (</w:t>
      </w:r>
      <w:r w:rsidR="009D7A93">
        <w:t>73.9</w:t>
      </w:r>
      <w:r w:rsidR="00B6750C">
        <w:t xml:space="preserve">%) of the patients who visited the clinic during the study period.  </w:t>
      </w:r>
    </w:p>
    <w:p w:rsidR="00B6750C" w:rsidRDefault="00B6750C" w:rsidP="00B6750C">
      <w:pPr>
        <w:pStyle w:val="NoSpacing"/>
      </w:pPr>
    </w:p>
    <w:p w:rsidR="00B6750C" w:rsidRPr="00B6750C" w:rsidRDefault="00B6750C" w:rsidP="00B6750C">
      <w:pPr>
        <w:pStyle w:val="NoSpacing"/>
      </w:pPr>
    </w:p>
    <w:p w:rsidR="0011534C" w:rsidRDefault="0011534C" w:rsidP="0011534C">
      <w:pPr>
        <w:pStyle w:val="NoSpacing"/>
      </w:pPr>
    </w:p>
    <w:p w:rsidR="000A15A2" w:rsidRDefault="000A15A2" w:rsidP="0011534C">
      <w:pPr>
        <w:pStyle w:val="NoSpacing"/>
      </w:pPr>
    </w:p>
    <w:p w:rsidR="00B6750C" w:rsidRDefault="00B6750C" w:rsidP="0011534C">
      <w:pPr>
        <w:pStyle w:val="NoSpacing"/>
      </w:pPr>
    </w:p>
    <w:p w:rsidR="00B6750C" w:rsidRDefault="00B6750C" w:rsidP="0011534C">
      <w:pPr>
        <w:pStyle w:val="NoSpacing"/>
      </w:pPr>
    </w:p>
    <w:p w:rsidR="00B6750C" w:rsidRDefault="00B6750C" w:rsidP="0011534C">
      <w:pPr>
        <w:pStyle w:val="NoSpacing"/>
      </w:pPr>
    </w:p>
    <w:p w:rsidR="00B6750C" w:rsidRDefault="00B6750C" w:rsidP="0011534C">
      <w:pPr>
        <w:pStyle w:val="NoSpacing"/>
      </w:pPr>
    </w:p>
    <w:p w:rsidR="00B6750C" w:rsidRDefault="00B6750C" w:rsidP="0011534C">
      <w:pPr>
        <w:pStyle w:val="NoSpacing"/>
      </w:pPr>
    </w:p>
    <w:p w:rsidR="00B6750C" w:rsidRDefault="00B6750C" w:rsidP="0011534C">
      <w:pPr>
        <w:pStyle w:val="NoSpacing"/>
      </w:pPr>
    </w:p>
    <w:p w:rsidR="00B6750C" w:rsidRDefault="00B6750C" w:rsidP="0011534C">
      <w:pPr>
        <w:pStyle w:val="NoSpacing"/>
      </w:pPr>
    </w:p>
    <w:p w:rsidR="00B6750C" w:rsidRDefault="00B6750C" w:rsidP="0011534C">
      <w:pPr>
        <w:pStyle w:val="NoSpacing"/>
      </w:pPr>
    </w:p>
    <w:p w:rsidR="00B6750C" w:rsidRDefault="00B6750C" w:rsidP="0011534C">
      <w:pPr>
        <w:pStyle w:val="NoSpacing"/>
      </w:pPr>
    </w:p>
    <w:p w:rsidR="00B6750C" w:rsidRDefault="00B6750C" w:rsidP="0011534C">
      <w:pPr>
        <w:pStyle w:val="NoSpacing"/>
      </w:pPr>
    </w:p>
    <w:p w:rsidR="00B6750C" w:rsidRDefault="00B6750C" w:rsidP="00B6750C">
      <w:pPr>
        <w:rPr>
          <w:sz w:val="20"/>
          <w:szCs w:val="20"/>
        </w:rPr>
      </w:pPr>
      <w:r>
        <w:rPr>
          <w:sz w:val="20"/>
          <w:szCs w:val="20"/>
        </w:rPr>
        <w:t>*Notes:</w:t>
      </w:r>
    </w:p>
    <w:p w:rsidR="00A62B98" w:rsidRDefault="00A62B98" w:rsidP="00B6750C">
      <w:pPr>
        <w:pStyle w:val="NoSpacing"/>
        <w:numPr>
          <w:ilvl w:val="0"/>
          <w:numId w:val="7"/>
        </w:numPr>
        <w:rPr>
          <w:sz w:val="20"/>
          <w:szCs w:val="20"/>
        </w:rPr>
      </w:pPr>
      <w:r>
        <w:rPr>
          <w:sz w:val="20"/>
          <w:szCs w:val="20"/>
        </w:rPr>
        <w:t>The APGD and 1A Clinics were no longer active in 2013.</w:t>
      </w:r>
    </w:p>
    <w:p w:rsidR="00B6750C" w:rsidRPr="00B6750C" w:rsidRDefault="00B6750C" w:rsidP="00B6750C">
      <w:pPr>
        <w:pStyle w:val="NoSpacing"/>
        <w:numPr>
          <w:ilvl w:val="0"/>
          <w:numId w:val="7"/>
        </w:numPr>
        <w:rPr>
          <w:sz w:val="20"/>
          <w:szCs w:val="20"/>
        </w:rPr>
      </w:pPr>
      <w:r w:rsidRPr="00B6750C">
        <w:rPr>
          <w:sz w:val="20"/>
          <w:szCs w:val="20"/>
        </w:rPr>
        <w:t>The Figure utilizes calculations provided by the UF College of Dentistry based on number of surveys submitted</w:t>
      </w:r>
      <w:r w:rsidR="00A62B98">
        <w:rPr>
          <w:sz w:val="20"/>
          <w:szCs w:val="20"/>
        </w:rPr>
        <w:t xml:space="preserve"> (1,507) rather than the number of usable surveys (1,414) </w:t>
      </w:r>
      <w:r w:rsidRPr="00B6750C">
        <w:rPr>
          <w:sz w:val="20"/>
          <w:szCs w:val="20"/>
        </w:rPr>
        <w:t>data-reduced by the</w:t>
      </w:r>
      <w:r>
        <w:rPr>
          <w:sz w:val="20"/>
          <w:szCs w:val="20"/>
        </w:rPr>
        <w:t xml:space="preserve"> </w:t>
      </w:r>
      <w:r w:rsidRPr="00B6750C">
        <w:rPr>
          <w:sz w:val="20"/>
          <w:szCs w:val="20"/>
        </w:rPr>
        <w:t xml:space="preserve">FSRC in the calculations </w:t>
      </w:r>
      <w:r>
        <w:rPr>
          <w:sz w:val="20"/>
          <w:szCs w:val="20"/>
        </w:rPr>
        <w:t>used throughout the report</w:t>
      </w:r>
      <w:r w:rsidRPr="00B6750C">
        <w:rPr>
          <w:sz w:val="20"/>
          <w:szCs w:val="20"/>
        </w:rPr>
        <w:t>.</w:t>
      </w:r>
    </w:p>
    <w:p w:rsidR="000A15A2" w:rsidRPr="00705084" w:rsidRDefault="000A15A2" w:rsidP="000A15A2">
      <w:pPr>
        <w:pStyle w:val="NoSpacing"/>
      </w:pPr>
      <w:r>
        <w:lastRenderedPageBreak/>
        <w:t xml:space="preserve">The following table shows the percentage of Patient Satisfaction Surveys completed per the number of patients seen by clinic for </w:t>
      </w:r>
      <w:r w:rsidR="00A62B98">
        <w:t>specialty</w:t>
      </w:r>
      <w:r>
        <w:t xml:space="preserve"> clinics.</w:t>
      </w:r>
    </w:p>
    <w:p w:rsidR="000A15A2" w:rsidRPr="00C94F82" w:rsidRDefault="000A15A2" w:rsidP="0011534C">
      <w:pPr>
        <w:pStyle w:val="NoSpacing"/>
      </w:pPr>
    </w:p>
    <w:p w:rsidR="00106986" w:rsidRDefault="000A15A2" w:rsidP="000A15A2">
      <w:pPr>
        <w:spacing w:after="200" w:line="276" w:lineRule="auto"/>
        <w:jc w:val="center"/>
      </w:pPr>
      <w:r w:rsidRPr="000A15A2">
        <w:rPr>
          <w:noProof/>
        </w:rPr>
        <w:drawing>
          <wp:inline distT="0" distB="0" distL="0" distR="0" wp14:anchorId="212AD1F6" wp14:editId="02C59F44">
            <wp:extent cx="6096000" cy="3171825"/>
            <wp:effectExtent l="0" t="0" r="19050" b="9525"/>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6986" w:rsidRDefault="00387289" w:rsidP="00106986">
      <w:r>
        <w:t>In 201</w:t>
      </w:r>
      <w:r w:rsidR="00EB7844">
        <w:t>3</w:t>
      </w:r>
      <w:r>
        <w:t>, t</w:t>
      </w:r>
      <w:r w:rsidR="00106986">
        <w:t xml:space="preserve">here is substantial variation among the </w:t>
      </w:r>
      <w:r w:rsidR="00A62B98">
        <w:t>specialty</w:t>
      </w:r>
      <w:r w:rsidR="00106986">
        <w:t xml:space="preserve"> clinics for the percentage of patients seen who completed surveys, ranging from a high of </w:t>
      </w:r>
      <w:r w:rsidR="00EB7844">
        <w:t>more than</w:t>
      </w:r>
      <w:r w:rsidR="00102A50">
        <w:t xml:space="preserve"> 90</w:t>
      </w:r>
      <w:r w:rsidR="00106986">
        <w:t xml:space="preserve"> percent to a low of </w:t>
      </w:r>
      <w:r w:rsidR="00DB55AD">
        <w:t>zero</w:t>
      </w:r>
      <w:r w:rsidR="00106986">
        <w:t xml:space="preserve">.  </w:t>
      </w:r>
      <w:r w:rsidR="00EB7844">
        <w:t>T</w:t>
      </w:r>
      <w:r w:rsidR="00106986">
        <w:t xml:space="preserve">he </w:t>
      </w:r>
      <w:r w:rsidR="00DB55AD">
        <w:t>Graduate Endodontics</w:t>
      </w:r>
      <w:r w:rsidR="002B5762">
        <w:t xml:space="preserve"> (GE)</w:t>
      </w:r>
      <w:r w:rsidR="00106986">
        <w:t xml:space="preserve"> clinic was able to complete surveys </w:t>
      </w:r>
      <w:r w:rsidR="00DB55AD">
        <w:t xml:space="preserve">with </w:t>
      </w:r>
      <w:r w:rsidR="00EB7844">
        <w:t>nearly all</w:t>
      </w:r>
      <w:r w:rsidR="00106986">
        <w:t xml:space="preserve"> (</w:t>
      </w:r>
      <w:r w:rsidR="00EB7844">
        <w:t>95.9</w:t>
      </w:r>
      <w:r w:rsidR="00106986">
        <w:t>%) of the patients they saw in the study time frame</w:t>
      </w:r>
      <w:r w:rsidR="00EB7844">
        <w:t>, and the Oral Medicine (OM) clinic completed a similar percentage (94.4%)</w:t>
      </w:r>
      <w:r w:rsidR="0014530D">
        <w:t xml:space="preserve">.  </w:t>
      </w:r>
    </w:p>
    <w:p w:rsidR="00106986" w:rsidRDefault="00106986" w:rsidP="00106986">
      <w:pPr>
        <w:pStyle w:val="NoSpacing"/>
      </w:pPr>
    </w:p>
    <w:p w:rsidR="00106986" w:rsidRPr="00106986" w:rsidRDefault="00106986" w:rsidP="00106986">
      <w:pPr>
        <w:pStyle w:val="NoSpacing"/>
      </w:pPr>
      <w:r>
        <w:t>In contrast, only about one-</w:t>
      </w:r>
      <w:r w:rsidR="00EB7844">
        <w:t>half</w:t>
      </w:r>
      <w:r>
        <w:t xml:space="preserve"> of patients seen by the </w:t>
      </w:r>
      <w:r w:rsidR="0014530D">
        <w:t>Faculty Practice</w:t>
      </w:r>
      <w:r w:rsidR="002B5762">
        <w:t xml:space="preserve"> (</w:t>
      </w:r>
      <w:r w:rsidR="0014530D">
        <w:t>F</w:t>
      </w:r>
      <w:r w:rsidR="002B5762">
        <w:t>P)</w:t>
      </w:r>
      <w:r>
        <w:t xml:space="preserve"> clinic</w:t>
      </w:r>
      <w:r w:rsidR="0014530D">
        <w:t xml:space="preserve"> (</w:t>
      </w:r>
      <w:r w:rsidR="00EB7844">
        <w:t>56.3</w:t>
      </w:r>
      <w:r w:rsidR="0014530D">
        <w:t>%)</w:t>
      </w:r>
      <w:r w:rsidR="00EB7844">
        <w:t xml:space="preserve">, </w:t>
      </w:r>
      <w:r w:rsidR="0014530D">
        <w:t xml:space="preserve">and the Graduate Periodontics (GPE) clinic </w:t>
      </w:r>
      <w:r w:rsidR="00EB7844">
        <w:t xml:space="preserve">(49.3%) </w:t>
      </w:r>
      <w:r w:rsidR="0014530D">
        <w:t>completed surveys</w:t>
      </w:r>
      <w:r w:rsidR="00DB55AD">
        <w:t xml:space="preserve">, and </w:t>
      </w:r>
      <w:r w:rsidR="0014530D">
        <w:t xml:space="preserve">about </w:t>
      </w:r>
      <w:r w:rsidR="00EB7844">
        <w:t>three-fifths</w:t>
      </w:r>
      <w:r w:rsidR="0014530D">
        <w:t xml:space="preserve"> (6</w:t>
      </w:r>
      <w:r w:rsidR="00EB7844">
        <w:t>1.9</w:t>
      </w:r>
      <w:r w:rsidR="0014530D">
        <w:t>%) of those from the Pediatrics (PD) clinic</w:t>
      </w:r>
      <w:r w:rsidR="002B5762">
        <w:t xml:space="preserve"> </w:t>
      </w:r>
      <w:r w:rsidR="00DB55AD">
        <w:t>completed surveys.</w:t>
      </w:r>
    </w:p>
    <w:p w:rsidR="00102A50" w:rsidRDefault="00102A50" w:rsidP="00106986">
      <w:pPr>
        <w:spacing w:after="200" w:line="276" w:lineRule="auto"/>
      </w:pPr>
    </w:p>
    <w:p w:rsidR="00102A50" w:rsidRDefault="00102A50" w:rsidP="00106986">
      <w:pPr>
        <w:spacing w:after="200" w:line="276" w:lineRule="auto"/>
      </w:pPr>
    </w:p>
    <w:p w:rsidR="00102A50" w:rsidRDefault="00102A50" w:rsidP="00106986">
      <w:pPr>
        <w:spacing w:after="200" w:line="276" w:lineRule="auto"/>
      </w:pPr>
    </w:p>
    <w:p w:rsidR="00102A50" w:rsidRDefault="00102A50" w:rsidP="00106986">
      <w:pPr>
        <w:spacing w:after="200" w:line="276" w:lineRule="auto"/>
      </w:pPr>
    </w:p>
    <w:p w:rsidR="00102A50" w:rsidRDefault="00102A50" w:rsidP="00106986">
      <w:pPr>
        <w:spacing w:after="200" w:line="276" w:lineRule="auto"/>
      </w:pPr>
    </w:p>
    <w:p w:rsidR="00102A50" w:rsidRDefault="00102A50" w:rsidP="00102A50">
      <w:pPr>
        <w:pStyle w:val="NoSpacing"/>
      </w:pPr>
    </w:p>
    <w:p w:rsidR="00102A50" w:rsidRDefault="00102A50" w:rsidP="00102A50">
      <w:pPr>
        <w:rPr>
          <w:sz w:val="20"/>
          <w:szCs w:val="20"/>
        </w:rPr>
      </w:pPr>
      <w:r>
        <w:rPr>
          <w:sz w:val="20"/>
          <w:szCs w:val="20"/>
        </w:rPr>
        <w:t>*Notes:</w:t>
      </w:r>
    </w:p>
    <w:p w:rsidR="00102A50" w:rsidRPr="00B6750C" w:rsidRDefault="00A62B98" w:rsidP="00102A50">
      <w:pPr>
        <w:pStyle w:val="NoSpacing"/>
        <w:numPr>
          <w:ilvl w:val="0"/>
          <w:numId w:val="7"/>
        </w:numPr>
        <w:rPr>
          <w:sz w:val="20"/>
          <w:szCs w:val="20"/>
        </w:rPr>
      </w:pPr>
      <w:r>
        <w:rPr>
          <w:sz w:val="20"/>
          <w:szCs w:val="20"/>
        </w:rPr>
        <w:t>The Figure utilizes calculations provided by the UF College of Dentistry based on number of surveys submitted (1,507) rather than the number of usable surveys (1,414) data-reduced by the FSRC in the calculations used throughout the report.</w:t>
      </w:r>
    </w:p>
    <w:p w:rsidR="004023D2" w:rsidRDefault="004023D2" w:rsidP="00106986">
      <w:pPr>
        <w:spacing w:after="200" w:line="276" w:lineRule="auto"/>
        <w:rPr>
          <w:rFonts w:asciiTheme="majorHAnsi" w:eastAsiaTheme="majorEastAsia" w:hAnsiTheme="majorHAnsi" w:cstheme="majorBidi"/>
          <w:b/>
          <w:bCs/>
          <w:color w:val="4F81BD" w:themeColor="accent1"/>
          <w:sz w:val="26"/>
          <w:szCs w:val="26"/>
        </w:rPr>
      </w:pPr>
      <w:r>
        <w:br w:type="page"/>
      </w:r>
    </w:p>
    <w:p w:rsidR="00AA32AA" w:rsidRDefault="00AA32AA" w:rsidP="00FD6E36">
      <w:pPr>
        <w:pStyle w:val="Heading2"/>
      </w:pPr>
      <w:bookmarkStart w:id="4" w:name="_Toc383680484"/>
      <w:r>
        <w:lastRenderedPageBreak/>
        <w:t xml:space="preserve">Response by </w:t>
      </w:r>
      <w:r w:rsidR="00A62B98">
        <w:t>Specialty</w:t>
      </w:r>
      <w:r>
        <w:t xml:space="preserve"> Clinics</w:t>
      </w:r>
      <w:bookmarkEnd w:id="4"/>
    </w:p>
    <w:p w:rsidR="00705084" w:rsidRPr="00705084" w:rsidRDefault="00705084" w:rsidP="00705084"/>
    <w:p w:rsidR="001B3C23" w:rsidRDefault="003D065C">
      <w:pPr>
        <w:spacing w:after="200" w:line="276" w:lineRule="auto"/>
      </w:pPr>
      <w:r>
        <w:rPr>
          <w:noProof/>
        </w:rPr>
        <w:drawing>
          <wp:inline distT="0" distB="0" distL="0" distR="0" wp14:anchorId="727B9F75" wp14:editId="0BA14EB6">
            <wp:extent cx="6115050" cy="337185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B3C23" w:rsidRDefault="001B3C23">
      <w:pPr>
        <w:spacing w:after="200" w:line="276" w:lineRule="auto"/>
      </w:pPr>
    </w:p>
    <w:p w:rsidR="001B3C23" w:rsidRDefault="001B3C23">
      <w:pPr>
        <w:spacing w:after="200" w:line="276" w:lineRule="auto"/>
      </w:pPr>
    </w:p>
    <w:p w:rsidR="001B3C23" w:rsidRDefault="001B3C23" w:rsidP="001B3C23">
      <w:pPr>
        <w:pStyle w:val="NoSpacing"/>
      </w:pPr>
    </w:p>
    <w:p w:rsidR="001B3C23" w:rsidRDefault="001B3C23" w:rsidP="001B3C23">
      <w:pPr>
        <w:pStyle w:val="NoSpacing"/>
      </w:pPr>
    </w:p>
    <w:p w:rsidR="001B3C23" w:rsidRDefault="001B3C23" w:rsidP="001B3C23">
      <w:pPr>
        <w:pStyle w:val="NoSpacing"/>
      </w:pPr>
    </w:p>
    <w:p w:rsidR="001B3C23" w:rsidRDefault="001B3C23" w:rsidP="001B3C23">
      <w:pPr>
        <w:pStyle w:val="NoSpacing"/>
      </w:pPr>
    </w:p>
    <w:p w:rsidR="001B3C23" w:rsidRDefault="001B3C23" w:rsidP="001B3C23">
      <w:pPr>
        <w:pStyle w:val="NoSpacing"/>
      </w:pPr>
    </w:p>
    <w:p w:rsidR="001B3C23" w:rsidRDefault="001B3C23" w:rsidP="001B3C23">
      <w:pPr>
        <w:pStyle w:val="NoSpacing"/>
      </w:pPr>
    </w:p>
    <w:p w:rsidR="001B3C23" w:rsidRDefault="001B3C23" w:rsidP="001B3C23">
      <w:pPr>
        <w:pStyle w:val="NoSpacing"/>
      </w:pPr>
    </w:p>
    <w:p w:rsidR="001B3C23" w:rsidRDefault="001B3C23" w:rsidP="001B3C23">
      <w:pPr>
        <w:pStyle w:val="NoSpacing"/>
      </w:pPr>
    </w:p>
    <w:p w:rsidR="001B3C23" w:rsidRDefault="001B3C23" w:rsidP="001B3C23">
      <w:pPr>
        <w:pStyle w:val="NoSpacing"/>
      </w:pPr>
    </w:p>
    <w:p w:rsidR="001B3C23" w:rsidRDefault="001B3C23" w:rsidP="001B3C23">
      <w:pPr>
        <w:pStyle w:val="NoSpacing"/>
      </w:pPr>
    </w:p>
    <w:p w:rsidR="001B3C23" w:rsidRDefault="001B3C23" w:rsidP="001B3C23">
      <w:pPr>
        <w:pStyle w:val="NoSpacing"/>
      </w:pPr>
    </w:p>
    <w:p w:rsidR="001B3C23" w:rsidRDefault="001B3C23" w:rsidP="001B3C23">
      <w:pPr>
        <w:pStyle w:val="NoSpacing"/>
      </w:pPr>
    </w:p>
    <w:p w:rsidR="001B3C23" w:rsidRDefault="001B3C23" w:rsidP="001B3C23">
      <w:pPr>
        <w:pStyle w:val="NoSpacing"/>
      </w:pPr>
    </w:p>
    <w:p w:rsidR="001B3C23" w:rsidRPr="001B3C23" w:rsidRDefault="001B3C23" w:rsidP="001B3C23">
      <w:pPr>
        <w:pStyle w:val="NoSpacing"/>
      </w:pPr>
    </w:p>
    <w:p w:rsidR="001B3C23" w:rsidRDefault="001B3C23" w:rsidP="001B3C23">
      <w:pPr>
        <w:rPr>
          <w:sz w:val="20"/>
          <w:szCs w:val="20"/>
        </w:rPr>
      </w:pPr>
      <w:r>
        <w:rPr>
          <w:sz w:val="20"/>
          <w:szCs w:val="20"/>
        </w:rPr>
        <w:t>*Notes:</w:t>
      </w:r>
    </w:p>
    <w:p w:rsidR="00AA32AA" w:rsidRDefault="001B3C23" w:rsidP="001B3C23">
      <w:pPr>
        <w:spacing w:after="200" w:line="276" w:lineRule="auto"/>
      </w:pPr>
      <w:r>
        <w:rPr>
          <w:sz w:val="20"/>
          <w:szCs w:val="20"/>
        </w:rPr>
        <w:t>Specialty Clinic Abbreviations in t</w:t>
      </w:r>
      <w:r>
        <w:rPr>
          <w:sz w:val="20"/>
          <w:szCs w:val="20"/>
        </w:rPr>
        <w:t>he Figure</w:t>
      </w:r>
      <w:r>
        <w:rPr>
          <w:sz w:val="20"/>
          <w:szCs w:val="20"/>
        </w:rPr>
        <w:t xml:space="preserve">: Cashier (C), Endodontics (EN), Faculty Practice (FP), Graduate Endodontics (GE), Graduate Periodontics (GPE), Graduate Prosthodontics (GPR), Implant Center (IC), Oral Medicine (OM), Oral Surgery (OS), Orthodontics (OR), Pediatrics (PD), St. Pete (SP), Student Oral Surgery (SOS). </w:t>
      </w:r>
      <w:r>
        <w:rPr>
          <w:sz w:val="20"/>
          <w:szCs w:val="20"/>
        </w:rPr>
        <w:t xml:space="preserve"> </w:t>
      </w:r>
      <w:r w:rsidR="00AA32AA">
        <w:br w:type="page"/>
      </w:r>
    </w:p>
    <w:p w:rsidR="00AA32AA" w:rsidRDefault="00AA32AA" w:rsidP="00A5420F">
      <w:pPr>
        <w:pStyle w:val="Heading1"/>
      </w:pPr>
      <w:bookmarkStart w:id="5" w:name="_Toc383680485"/>
      <w:r>
        <w:lastRenderedPageBreak/>
        <w:t>Demographics</w:t>
      </w:r>
      <w:bookmarkEnd w:id="5"/>
    </w:p>
    <w:p w:rsidR="00AA32AA" w:rsidRDefault="004B45EE" w:rsidP="00A5420F">
      <w:pPr>
        <w:pStyle w:val="Heading2"/>
      </w:pPr>
      <w:bookmarkStart w:id="6" w:name="_Toc383680486"/>
      <w:r>
        <w:t>Age</w:t>
      </w:r>
      <w:bookmarkEnd w:id="6"/>
    </w:p>
    <w:p w:rsidR="00E267C3" w:rsidRPr="00E267C3" w:rsidRDefault="00E267C3" w:rsidP="00E267C3">
      <w:pPr>
        <w:jc w:val="center"/>
      </w:pPr>
      <w:r>
        <w:t>Patients were asked: “</w:t>
      </w:r>
      <w:r w:rsidRPr="00E267C3">
        <w:rPr>
          <w:i/>
        </w:rPr>
        <w:t>How old are you?</w:t>
      </w:r>
      <w:r>
        <w:t>”</w:t>
      </w:r>
    </w:p>
    <w:p w:rsidR="00A5420F" w:rsidRPr="00A5420F" w:rsidRDefault="00A5420F" w:rsidP="00A5420F"/>
    <w:p w:rsidR="004B45EE" w:rsidRDefault="004B45EE" w:rsidP="00A5420F">
      <w:pPr>
        <w:pStyle w:val="NoSpacing"/>
        <w:jc w:val="center"/>
      </w:pPr>
      <w:r>
        <w:rPr>
          <w:noProof/>
        </w:rPr>
        <w:drawing>
          <wp:inline distT="0" distB="0" distL="0" distR="0" wp14:anchorId="46554241" wp14:editId="4FDBA2E9">
            <wp:extent cx="5486400" cy="32004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23D2" w:rsidRDefault="004023D2" w:rsidP="004023D2">
      <w:pPr>
        <w:pStyle w:val="NoSpacing"/>
      </w:pPr>
    </w:p>
    <w:p w:rsidR="00772AB6" w:rsidRDefault="00772AB6" w:rsidP="004023D2">
      <w:r>
        <w:t>In 201</w:t>
      </w:r>
      <w:r w:rsidR="00E64F9D">
        <w:t>3</w:t>
      </w:r>
      <w:r>
        <w:t>, about one-fifth of the patients completing surveys are either “20 or under” (1</w:t>
      </w:r>
      <w:r w:rsidR="006A737A">
        <w:t>8.4</w:t>
      </w:r>
      <w:r>
        <w:t>%) or “21 to 40” years old (</w:t>
      </w:r>
      <w:r w:rsidR="00F516F1">
        <w:t>2</w:t>
      </w:r>
      <w:r w:rsidR="00E64F9D">
        <w:t>0.5</w:t>
      </w:r>
      <w:r>
        <w:t>%).  More than one-quarter (2</w:t>
      </w:r>
      <w:r w:rsidR="00F516F1">
        <w:t>7.</w:t>
      </w:r>
      <w:r w:rsidR="006A737A">
        <w:t>2</w:t>
      </w:r>
      <w:r>
        <w:t>%) of the respondents are “41 to 60” years old, and about one-third (3</w:t>
      </w:r>
      <w:r w:rsidR="00E64F9D">
        <w:t>4</w:t>
      </w:r>
      <w:r w:rsidR="006A737A">
        <w:t>.0</w:t>
      </w:r>
      <w:r>
        <w:t>%) are “Over 60.”</w:t>
      </w:r>
    </w:p>
    <w:p w:rsidR="00772AB6" w:rsidRPr="00772AB6" w:rsidRDefault="00772AB6" w:rsidP="00772AB6">
      <w:pPr>
        <w:pStyle w:val="NoSpacing"/>
      </w:pPr>
    </w:p>
    <w:p w:rsidR="004023D2" w:rsidRDefault="00772AB6" w:rsidP="004023D2">
      <w:r>
        <w:t>Overall, t</w:t>
      </w:r>
      <w:r w:rsidR="004023D2">
        <w:t xml:space="preserve">he age group with the smallest number of patients </w:t>
      </w:r>
      <w:r w:rsidR="002866C8">
        <w:t>completing surveys</w:t>
      </w:r>
      <w:r>
        <w:t xml:space="preserve"> across time</w:t>
      </w:r>
      <w:r w:rsidR="002866C8">
        <w:t xml:space="preserve"> </w:t>
      </w:r>
      <w:r w:rsidR="004023D2">
        <w:t xml:space="preserve">is the “20 or </w:t>
      </w:r>
      <w:proofErr w:type="gramStart"/>
      <w:r w:rsidR="004023D2">
        <w:t>Under</w:t>
      </w:r>
      <w:proofErr w:type="gramEnd"/>
      <w:r w:rsidR="004023D2">
        <w:t xml:space="preserve">” category. The age categories with the largest number of patients </w:t>
      </w:r>
      <w:r w:rsidR="002866C8">
        <w:t xml:space="preserve">completing surveys </w:t>
      </w:r>
      <w:r>
        <w:t xml:space="preserve">across time </w:t>
      </w:r>
      <w:r w:rsidR="002866C8">
        <w:t xml:space="preserve">are the “41 to 60” </w:t>
      </w:r>
      <w:r w:rsidR="004023D2">
        <w:t xml:space="preserve">and “Over 60” groups. </w:t>
      </w:r>
      <w:r w:rsidR="002866C8">
        <w:t xml:space="preserve">  </w:t>
      </w:r>
    </w:p>
    <w:p w:rsidR="004023D2" w:rsidRDefault="004023D2" w:rsidP="004023D2">
      <w:pPr>
        <w:pStyle w:val="NoSpacing"/>
      </w:pPr>
    </w:p>
    <w:p w:rsidR="004023D2" w:rsidRDefault="004023D2">
      <w:pPr>
        <w:spacing w:after="200" w:line="276" w:lineRule="auto"/>
        <w:rPr>
          <w:rFonts w:asciiTheme="majorHAnsi" w:eastAsiaTheme="majorEastAsia" w:hAnsiTheme="majorHAnsi" w:cstheme="majorBidi"/>
          <w:b/>
          <w:bCs/>
          <w:color w:val="4F81BD" w:themeColor="accent1"/>
          <w:sz w:val="26"/>
          <w:szCs w:val="26"/>
        </w:rPr>
      </w:pPr>
      <w:r>
        <w:br w:type="page"/>
      </w:r>
    </w:p>
    <w:p w:rsidR="00A5420F" w:rsidRDefault="00A5420F" w:rsidP="00A5420F">
      <w:pPr>
        <w:pStyle w:val="Heading2"/>
      </w:pPr>
      <w:bookmarkStart w:id="7" w:name="_Toc383680487"/>
      <w:r>
        <w:lastRenderedPageBreak/>
        <w:t>Gender</w:t>
      </w:r>
      <w:bookmarkEnd w:id="7"/>
    </w:p>
    <w:p w:rsidR="00E267C3" w:rsidRPr="00E267C3" w:rsidRDefault="00E267C3" w:rsidP="00E267C3">
      <w:pPr>
        <w:jc w:val="center"/>
      </w:pPr>
      <w:r>
        <w:t>Patients were asked: “</w:t>
      </w:r>
      <w:r w:rsidRPr="00E267C3">
        <w:rPr>
          <w:i/>
        </w:rPr>
        <w:t>Are you female or male?</w:t>
      </w:r>
      <w:r>
        <w:t>”</w:t>
      </w:r>
    </w:p>
    <w:p w:rsidR="00A5420F" w:rsidRDefault="00A5420F" w:rsidP="00BC2AC0">
      <w:pPr>
        <w:pStyle w:val="NoSpacing"/>
      </w:pPr>
    </w:p>
    <w:p w:rsidR="00A5420F" w:rsidRDefault="00A5420F" w:rsidP="00A5420F">
      <w:pPr>
        <w:pStyle w:val="NoSpacing"/>
        <w:jc w:val="center"/>
      </w:pPr>
      <w:r>
        <w:rPr>
          <w:noProof/>
        </w:rPr>
        <w:drawing>
          <wp:inline distT="0" distB="0" distL="0" distR="0" wp14:anchorId="3805A2AE" wp14:editId="4B3EC57A">
            <wp:extent cx="5486400" cy="32004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5420F" w:rsidRDefault="00A5420F" w:rsidP="00A5420F">
      <w:pPr>
        <w:pStyle w:val="NoSpacing"/>
      </w:pPr>
    </w:p>
    <w:p w:rsidR="002866C8" w:rsidRDefault="002866C8" w:rsidP="002866C8">
      <w:proofErr w:type="gramStart"/>
      <w:r>
        <w:t>More female than male patients complete the survey each year.</w:t>
      </w:r>
      <w:proofErr w:type="gramEnd"/>
      <w:r>
        <w:t xml:space="preserve">  From 200</w:t>
      </w:r>
      <w:r w:rsidR="00463007">
        <w:t>9</w:t>
      </w:r>
      <w:r>
        <w:t xml:space="preserve"> to 201</w:t>
      </w:r>
      <w:r w:rsidR="00463007">
        <w:t>2</w:t>
      </w:r>
      <w:r>
        <w:t>, on average, a little more than two-fifths of the survey respondents are male and slightly less than three-fifths are female.</w:t>
      </w:r>
      <w:r w:rsidR="005745C8">
        <w:t xml:space="preserve">  </w:t>
      </w:r>
    </w:p>
    <w:p w:rsidR="005C629F" w:rsidRDefault="005C629F" w:rsidP="005C629F">
      <w:pPr>
        <w:pStyle w:val="NoSpacing"/>
      </w:pPr>
    </w:p>
    <w:p w:rsidR="005C629F" w:rsidRPr="005C629F" w:rsidRDefault="005C629F" w:rsidP="005C629F">
      <w:pPr>
        <w:pStyle w:val="NoSpacing"/>
      </w:pPr>
      <w:r>
        <w:t>In 201</w:t>
      </w:r>
      <w:r w:rsidR="00463007">
        <w:t>3</w:t>
      </w:r>
      <w:r>
        <w:t>, nearly three-fifths (5</w:t>
      </w:r>
      <w:r w:rsidR="006A737A">
        <w:t>6.2</w:t>
      </w:r>
      <w:r>
        <w:t>%) of the responding patients are female, while just over two-fifths (4</w:t>
      </w:r>
      <w:r w:rsidR="006A737A">
        <w:t>3.8</w:t>
      </w:r>
      <w:r>
        <w:t>%) are male.</w:t>
      </w:r>
    </w:p>
    <w:p w:rsidR="002866C8" w:rsidRDefault="002866C8" w:rsidP="00A5420F">
      <w:pPr>
        <w:pStyle w:val="NoSpacing"/>
      </w:pPr>
    </w:p>
    <w:p w:rsidR="002866C8" w:rsidRDefault="002866C8">
      <w:pPr>
        <w:spacing w:after="200" w:line="276" w:lineRule="auto"/>
        <w:rPr>
          <w:rFonts w:asciiTheme="majorHAnsi" w:eastAsiaTheme="majorEastAsia" w:hAnsiTheme="majorHAnsi" w:cstheme="majorBidi"/>
          <w:b/>
          <w:bCs/>
          <w:noProof/>
          <w:color w:val="4F81BD" w:themeColor="accent1"/>
          <w:sz w:val="26"/>
          <w:szCs w:val="26"/>
        </w:rPr>
      </w:pPr>
      <w:r>
        <w:rPr>
          <w:noProof/>
        </w:rPr>
        <w:br w:type="page"/>
      </w:r>
    </w:p>
    <w:p w:rsidR="000561DA" w:rsidRDefault="000561DA" w:rsidP="006C3F26">
      <w:pPr>
        <w:pStyle w:val="Heading2"/>
        <w:rPr>
          <w:noProof/>
        </w:rPr>
      </w:pPr>
      <w:bookmarkStart w:id="8" w:name="_Toc383680488"/>
      <w:r>
        <w:rPr>
          <w:noProof/>
        </w:rPr>
        <w:lastRenderedPageBreak/>
        <w:t>County of Residence</w:t>
      </w:r>
      <w:r w:rsidR="00C11999">
        <w:rPr>
          <w:noProof/>
        </w:rPr>
        <w:t xml:space="preserve"> (201</w:t>
      </w:r>
      <w:r w:rsidR="004F7230">
        <w:rPr>
          <w:noProof/>
        </w:rPr>
        <w:t>3</w:t>
      </w:r>
      <w:r w:rsidR="00FD6E36">
        <w:rPr>
          <w:noProof/>
        </w:rPr>
        <w:t>)</w:t>
      </w:r>
      <w:bookmarkEnd w:id="8"/>
    </w:p>
    <w:p w:rsidR="002866C8" w:rsidRDefault="002866C8" w:rsidP="00E267C3">
      <w:pPr>
        <w:jc w:val="center"/>
      </w:pPr>
    </w:p>
    <w:p w:rsidR="000561DA" w:rsidRDefault="00E267C3" w:rsidP="00E267C3">
      <w:pPr>
        <w:jc w:val="center"/>
      </w:pPr>
      <w:r w:rsidRPr="00E267C3">
        <w:t>Patients were asked: “</w:t>
      </w:r>
      <w:r w:rsidR="004D1352" w:rsidRPr="004D1352">
        <w:rPr>
          <w:i/>
        </w:rPr>
        <w:t>In</w:t>
      </w:r>
      <w:r w:rsidR="004D1352">
        <w:t xml:space="preserve"> w</w:t>
      </w:r>
      <w:r w:rsidRPr="00E267C3">
        <w:rPr>
          <w:i/>
        </w:rPr>
        <w:t>hat county do you live?</w:t>
      </w:r>
      <w:r w:rsidRPr="00E267C3">
        <w:t>”</w:t>
      </w:r>
    </w:p>
    <w:p w:rsidR="002866C8" w:rsidRPr="002866C8" w:rsidRDefault="002866C8" w:rsidP="002866C8">
      <w:pPr>
        <w:pStyle w:val="NoSpacing"/>
      </w:pPr>
    </w:p>
    <w:tbl>
      <w:tblPr>
        <w:tblStyle w:val="TableGrid"/>
        <w:tblW w:w="0" w:type="auto"/>
        <w:tblInd w:w="108" w:type="dxa"/>
        <w:tblLook w:val="04A0" w:firstRow="1" w:lastRow="0" w:firstColumn="1" w:lastColumn="0" w:noHBand="0" w:noVBand="1"/>
      </w:tblPr>
      <w:tblGrid>
        <w:gridCol w:w="2880"/>
        <w:gridCol w:w="1530"/>
        <w:gridCol w:w="270"/>
        <w:gridCol w:w="2610"/>
        <w:gridCol w:w="1530"/>
      </w:tblGrid>
      <w:tr w:rsidR="002866C8" w:rsidRPr="000561DA" w:rsidTr="002866C8">
        <w:tc>
          <w:tcPr>
            <w:tcW w:w="2880" w:type="dxa"/>
            <w:shd w:val="clear" w:color="auto" w:fill="C6D9F1" w:themeFill="text2" w:themeFillTint="33"/>
          </w:tcPr>
          <w:p w:rsidR="002866C8" w:rsidRPr="000561DA" w:rsidRDefault="002866C8" w:rsidP="00E267C3">
            <w:pPr>
              <w:pStyle w:val="NoSpacing"/>
              <w:rPr>
                <w:b/>
              </w:rPr>
            </w:pPr>
            <w:r>
              <w:rPr>
                <w:b/>
              </w:rPr>
              <w:t>County</w:t>
            </w:r>
          </w:p>
        </w:tc>
        <w:tc>
          <w:tcPr>
            <w:tcW w:w="1530" w:type="dxa"/>
            <w:tcBorders>
              <w:right w:val="single" w:sz="4" w:space="0" w:color="auto"/>
            </w:tcBorders>
            <w:shd w:val="clear" w:color="auto" w:fill="C6D9F1" w:themeFill="text2" w:themeFillTint="33"/>
          </w:tcPr>
          <w:p w:rsidR="002866C8" w:rsidRPr="000561DA" w:rsidRDefault="002866C8" w:rsidP="000561DA">
            <w:pPr>
              <w:pStyle w:val="NoSpacing"/>
              <w:jc w:val="center"/>
              <w:rPr>
                <w:b/>
              </w:rPr>
            </w:pPr>
            <w:r>
              <w:rPr>
                <w:b/>
              </w:rPr>
              <w:t>N</w:t>
            </w:r>
          </w:p>
        </w:tc>
        <w:tc>
          <w:tcPr>
            <w:tcW w:w="270" w:type="dxa"/>
            <w:tcBorders>
              <w:top w:val="nil"/>
              <w:left w:val="single" w:sz="4" w:space="0" w:color="auto"/>
              <w:bottom w:val="nil"/>
              <w:right w:val="single" w:sz="4" w:space="0" w:color="auto"/>
            </w:tcBorders>
            <w:shd w:val="clear" w:color="auto" w:fill="auto"/>
          </w:tcPr>
          <w:p w:rsidR="002866C8" w:rsidRDefault="002866C8" w:rsidP="000561DA">
            <w:pPr>
              <w:pStyle w:val="NoSpacing"/>
              <w:jc w:val="center"/>
              <w:rPr>
                <w:b/>
              </w:rPr>
            </w:pPr>
          </w:p>
        </w:tc>
        <w:tc>
          <w:tcPr>
            <w:tcW w:w="2610" w:type="dxa"/>
            <w:tcBorders>
              <w:left w:val="single" w:sz="4" w:space="0" w:color="auto"/>
            </w:tcBorders>
            <w:shd w:val="clear" w:color="auto" w:fill="C6D9F1" w:themeFill="text2" w:themeFillTint="33"/>
          </w:tcPr>
          <w:p w:rsidR="002866C8" w:rsidRPr="000561DA" w:rsidRDefault="002866C8" w:rsidP="002866C8">
            <w:pPr>
              <w:pStyle w:val="NoSpacing"/>
              <w:rPr>
                <w:b/>
              </w:rPr>
            </w:pPr>
            <w:r>
              <w:rPr>
                <w:b/>
              </w:rPr>
              <w:t>County</w:t>
            </w:r>
          </w:p>
        </w:tc>
        <w:tc>
          <w:tcPr>
            <w:tcW w:w="1530" w:type="dxa"/>
            <w:shd w:val="clear" w:color="auto" w:fill="C6D9F1" w:themeFill="text2" w:themeFillTint="33"/>
          </w:tcPr>
          <w:p w:rsidR="002866C8" w:rsidRPr="000561DA" w:rsidRDefault="002866C8" w:rsidP="000561DA">
            <w:pPr>
              <w:pStyle w:val="NoSpacing"/>
              <w:jc w:val="center"/>
              <w:rPr>
                <w:b/>
              </w:rPr>
            </w:pPr>
            <w:r>
              <w:rPr>
                <w:b/>
              </w:rPr>
              <w:t>N</w:t>
            </w:r>
          </w:p>
        </w:tc>
      </w:tr>
      <w:tr w:rsidR="006A710B" w:rsidTr="002866C8">
        <w:tc>
          <w:tcPr>
            <w:tcW w:w="2880" w:type="dxa"/>
          </w:tcPr>
          <w:p w:rsidR="006A710B" w:rsidRDefault="006A710B" w:rsidP="000561DA">
            <w:pPr>
              <w:pStyle w:val="NoSpacing"/>
            </w:pPr>
            <w:r>
              <w:t>Alachua</w:t>
            </w:r>
          </w:p>
        </w:tc>
        <w:tc>
          <w:tcPr>
            <w:tcW w:w="1530" w:type="dxa"/>
            <w:tcBorders>
              <w:right w:val="single" w:sz="4" w:space="0" w:color="auto"/>
            </w:tcBorders>
          </w:tcPr>
          <w:p w:rsidR="006A710B" w:rsidRDefault="006A710B" w:rsidP="000A15A2">
            <w:pPr>
              <w:pStyle w:val="NoSpacing"/>
              <w:jc w:val="center"/>
            </w:pPr>
            <w:r>
              <w:t>375</w:t>
            </w:r>
          </w:p>
        </w:tc>
        <w:tc>
          <w:tcPr>
            <w:tcW w:w="270" w:type="dxa"/>
            <w:tcBorders>
              <w:top w:val="nil"/>
              <w:left w:val="single" w:sz="4" w:space="0" w:color="auto"/>
              <w:bottom w:val="nil"/>
              <w:right w:val="single" w:sz="4" w:space="0" w:color="auto"/>
            </w:tcBorders>
            <w:shd w:val="clear" w:color="auto" w:fill="auto"/>
          </w:tcPr>
          <w:p w:rsidR="006A710B" w:rsidRDefault="006A710B" w:rsidP="002866C8">
            <w:pPr>
              <w:pStyle w:val="NoSpacing"/>
            </w:pPr>
          </w:p>
        </w:tc>
        <w:tc>
          <w:tcPr>
            <w:tcW w:w="2610" w:type="dxa"/>
            <w:tcBorders>
              <w:left w:val="single" w:sz="4" w:space="0" w:color="auto"/>
            </w:tcBorders>
          </w:tcPr>
          <w:p w:rsidR="006A710B" w:rsidRDefault="006A710B" w:rsidP="00DD3607">
            <w:pPr>
              <w:pStyle w:val="NoSpacing"/>
            </w:pPr>
            <w:r>
              <w:t>Lafayette</w:t>
            </w:r>
          </w:p>
        </w:tc>
        <w:tc>
          <w:tcPr>
            <w:tcW w:w="1530" w:type="dxa"/>
          </w:tcPr>
          <w:p w:rsidR="006A710B" w:rsidRDefault="006A710B" w:rsidP="00DD3607">
            <w:pPr>
              <w:pStyle w:val="NoSpacing"/>
              <w:jc w:val="center"/>
            </w:pPr>
            <w:r>
              <w:t>3</w:t>
            </w:r>
          </w:p>
        </w:tc>
      </w:tr>
      <w:tr w:rsidR="006A710B" w:rsidTr="002866C8">
        <w:tc>
          <w:tcPr>
            <w:tcW w:w="2880" w:type="dxa"/>
          </w:tcPr>
          <w:p w:rsidR="006A710B" w:rsidRDefault="006A710B" w:rsidP="000561DA">
            <w:pPr>
              <w:pStyle w:val="NoSpacing"/>
            </w:pPr>
            <w:r>
              <w:t>Baker</w:t>
            </w:r>
          </w:p>
        </w:tc>
        <w:tc>
          <w:tcPr>
            <w:tcW w:w="1530" w:type="dxa"/>
            <w:tcBorders>
              <w:right w:val="single" w:sz="4" w:space="0" w:color="auto"/>
            </w:tcBorders>
          </w:tcPr>
          <w:p w:rsidR="006A710B" w:rsidRDefault="006A710B" w:rsidP="000A15A2">
            <w:pPr>
              <w:pStyle w:val="NoSpacing"/>
              <w:jc w:val="center"/>
            </w:pPr>
            <w:r>
              <w:t>4</w:t>
            </w:r>
          </w:p>
        </w:tc>
        <w:tc>
          <w:tcPr>
            <w:tcW w:w="270" w:type="dxa"/>
            <w:tcBorders>
              <w:top w:val="nil"/>
              <w:left w:val="single" w:sz="4" w:space="0" w:color="auto"/>
              <w:bottom w:val="nil"/>
              <w:right w:val="single" w:sz="4" w:space="0" w:color="auto"/>
            </w:tcBorders>
            <w:shd w:val="clear" w:color="auto" w:fill="auto"/>
          </w:tcPr>
          <w:p w:rsidR="006A710B" w:rsidRDefault="006A710B" w:rsidP="000A15A2">
            <w:pPr>
              <w:pStyle w:val="NoSpacing"/>
            </w:pPr>
          </w:p>
        </w:tc>
        <w:tc>
          <w:tcPr>
            <w:tcW w:w="2610" w:type="dxa"/>
            <w:tcBorders>
              <w:left w:val="single" w:sz="4" w:space="0" w:color="auto"/>
            </w:tcBorders>
          </w:tcPr>
          <w:p w:rsidR="006A710B" w:rsidRDefault="006A710B" w:rsidP="00DD3607">
            <w:pPr>
              <w:pStyle w:val="NoSpacing"/>
            </w:pPr>
            <w:r>
              <w:t>Lake</w:t>
            </w:r>
          </w:p>
        </w:tc>
        <w:tc>
          <w:tcPr>
            <w:tcW w:w="1530" w:type="dxa"/>
          </w:tcPr>
          <w:p w:rsidR="006A710B" w:rsidRDefault="006A710B" w:rsidP="00DD3607">
            <w:pPr>
              <w:pStyle w:val="NoSpacing"/>
              <w:jc w:val="center"/>
            </w:pPr>
            <w:r>
              <w:t>16</w:t>
            </w:r>
          </w:p>
        </w:tc>
      </w:tr>
      <w:tr w:rsidR="006A710B" w:rsidTr="002866C8">
        <w:tc>
          <w:tcPr>
            <w:tcW w:w="2880" w:type="dxa"/>
          </w:tcPr>
          <w:p w:rsidR="006A710B" w:rsidRDefault="006A710B" w:rsidP="000561DA">
            <w:pPr>
              <w:pStyle w:val="NoSpacing"/>
            </w:pPr>
            <w:r>
              <w:t>Bay</w:t>
            </w:r>
          </w:p>
        </w:tc>
        <w:tc>
          <w:tcPr>
            <w:tcW w:w="1530" w:type="dxa"/>
            <w:tcBorders>
              <w:right w:val="single" w:sz="4" w:space="0" w:color="auto"/>
            </w:tcBorders>
          </w:tcPr>
          <w:p w:rsidR="006A710B" w:rsidRDefault="006A710B" w:rsidP="000A15A2">
            <w:pPr>
              <w:pStyle w:val="NoSpacing"/>
              <w:jc w:val="center"/>
            </w:pPr>
            <w:r>
              <w:t>4</w:t>
            </w:r>
          </w:p>
        </w:tc>
        <w:tc>
          <w:tcPr>
            <w:tcW w:w="270" w:type="dxa"/>
            <w:tcBorders>
              <w:top w:val="nil"/>
              <w:left w:val="single" w:sz="4" w:space="0" w:color="auto"/>
              <w:bottom w:val="nil"/>
              <w:right w:val="single" w:sz="4" w:space="0" w:color="auto"/>
            </w:tcBorders>
            <w:shd w:val="clear" w:color="auto" w:fill="auto"/>
          </w:tcPr>
          <w:p w:rsidR="006A710B" w:rsidRDefault="006A710B" w:rsidP="000A15A2">
            <w:pPr>
              <w:pStyle w:val="NoSpacing"/>
            </w:pPr>
          </w:p>
        </w:tc>
        <w:tc>
          <w:tcPr>
            <w:tcW w:w="2610" w:type="dxa"/>
            <w:tcBorders>
              <w:left w:val="single" w:sz="4" w:space="0" w:color="auto"/>
            </w:tcBorders>
          </w:tcPr>
          <w:p w:rsidR="006A710B" w:rsidRDefault="006A710B" w:rsidP="00DD3607">
            <w:pPr>
              <w:pStyle w:val="NoSpacing"/>
            </w:pPr>
            <w:r>
              <w:t>Lee</w:t>
            </w:r>
          </w:p>
        </w:tc>
        <w:tc>
          <w:tcPr>
            <w:tcW w:w="1530" w:type="dxa"/>
          </w:tcPr>
          <w:p w:rsidR="006A710B" w:rsidRDefault="006A737A" w:rsidP="00DD3607">
            <w:pPr>
              <w:pStyle w:val="NoSpacing"/>
              <w:jc w:val="center"/>
            </w:pPr>
            <w:r>
              <w:t>5</w:t>
            </w:r>
          </w:p>
        </w:tc>
      </w:tr>
      <w:tr w:rsidR="006A710B" w:rsidTr="002866C8">
        <w:tc>
          <w:tcPr>
            <w:tcW w:w="2880" w:type="dxa"/>
          </w:tcPr>
          <w:p w:rsidR="006A710B" w:rsidRDefault="006A710B" w:rsidP="000561DA">
            <w:pPr>
              <w:pStyle w:val="NoSpacing"/>
            </w:pPr>
            <w:r>
              <w:t>Bradford</w:t>
            </w:r>
          </w:p>
        </w:tc>
        <w:tc>
          <w:tcPr>
            <w:tcW w:w="1530" w:type="dxa"/>
            <w:tcBorders>
              <w:right w:val="single" w:sz="4" w:space="0" w:color="auto"/>
            </w:tcBorders>
          </w:tcPr>
          <w:p w:rsidR="006A710B" w:rsidRDefault="006A710B" w:rsidP="000A15A2">
            <w:pPr>
              <w:pStyle w:val="NoSpacing"/>
              <w:jc w:val="center"/>
            </w:pPr>
            <w:r>
              <w:t>27</w:t>
            </w:r>
          </w:p>
        </w:tc>
        <w:tc>
          <w:tcPr>
            <w:tcW w:w="270" w:type="dxa"/>
            <w:tcBorders>
              <w:top w:val="nil"/>
              <w:left w:val="single" w:sz="4" w:space="0" w:color="auto"/>
              <w:bottom w:val="nil"/>
              <w:right w:val="single" w:sz="4" w:space="0" w:color="auto"/>
            </w:tcBorders>
            <w:shd w:val="clear" w:color="auto" w:fill="auto"/>
          </w:tcPr>
          <w:p w:rsidR="006A710B" w:rsidRDefault="006A710B" w:rsidP="000A15A2">
            <w:pPr>
              <w:pStyle w:val="NoSpacing"/>
            </w:pPr>
          </w:p>
        </w:tc>
        <w:tc>
          <w:tcPr>
            <w:tcW w:w="2610" w:type="dxa"/>
            <w:tcBorders>
              <w:left w:val="single" w:sz="4" w:space="0" w:color="auto"/>
            </w:tcBorders>
          </w:tcPr>
          <w:p w:rsidR="006A710B" w:rsidRDefault="006A710B" w:rsidP="00DD3607">
            <w:pPr>
              <w:pStyle w:val="NoSpacing"/>
            </w:pPr>
            <w:r>
              <w:t>Leon</w:t>
            </w:r>
          </w:p>
        </w:tc>
        <w:tc>
          <w:tcPr>
            <w:tcW w:w="1530" w:type="dxa"/>
          </w:tcPr>
          <w:p w:rsidR="006A710B" w:rsidRDefault="006A710B" w:rsidP="00DD3607">
            <w:pPr>
              <w:pStyle w:val="NoSpacing"/>
              <w:jc w:val="center"/>
            </w:pPr>
            <w:r>
              <w:t>9</w:t>
            </w:r>
          </w:p>
        </w:tc>
      </w:tr>
      <w:tr w:rsidR="006A710B" w:rsidTr="002866C8">
        <w:tc>
          <w:tcPr>
            <w:tcW w:w="2880" w:type="dxa"/>
          </w:tcPr>
          <w:p w:rsidR="006A710B" w:rsidRDefault="006A710B" w:rsidP="000561DA">
            <w:pPr>
              <w:pStyle w:val="NoSpacing"/>
            </w:pPr>
            <w:r>
              <w:t>Brevard</w:t>
            </w:r>
          </w:p>
        </w:tc>
        <w:tc>
          <w:tcPr>
            <w:tcW w:w="1530" w:type="dxa"/>
            <w:tcBorders>
              <w:right w:val="single" w:sz="4" w:space="0" w:color="auto"/>
            </w:tcBorders>
          </w:tcPr>
          <w:p w:rsidR="006A710B" w:rsidRDefault="006A710B" w:rsidP="000A15A2">
            <w:pPr>
              <w:pStyle w:val="NoSpacing"/>
              <w:jc w:val="center"/>
            </w:pPr>
            <w:r>
              <w:t>8</w:t>
            </w:r>
          </w:p>
        </w:tc>
        <w:tc>
          <w:tcPr>
            <w:tcW w:w="270" w:type="dxa"/>
            <w:tcBorders>
              <w:top w:val="nil"/>
              <w:left w:val="single" w:sz="4" w:space="0" w:color="auto"/>
              <w:bottom w:val="nil"/>
              <w:right w:val="single" w:sz="4" w:space="0" w:color="auto"/>
            </w:tcBorders>
            <w:shd w:val="clear" w:color="auto" w:fill="auto"/>
          </w:tcPr>
          <w:p w:rsidR="006A710B" w:rsidRDefault="006A710B" w:rsidP="000A15A2">
            <w:pPr>
              <w:pStyle w:val="NoSpacing"/>
            </w:pPr>
          </w:p>
        </w:tc>
        <w:tc>
          <w:tcPr>
            <w:tcW w:w="2610" w:type="dxa"/>
            <w:tcBorders>
              <w:left w:val="single" w:sz="4" w:space="0" w:color="auto"/>
            </w:tcBorders>
          </w:tcPr>
          <w:p w:rsidR="006A710B" w:rsidRDefault="006A710B" w:rsidP="00DD3607">
            <w:pPr>
              <w:pStyle w:val="NoSpacing"/>
            </w:pPr>
            <w:r>
              <w:t>Levy</w:t>
            </w:r>
          </w:p>
        </w:tc>
        <w:tc>
          <w:tcPr>
            <w:tcW w:w="1530" w:type="dxa"/>
          </w:tcPr>
          <w:p w:rsidR="006A710B" w:rsidRDefault="006A710B" w:rsidP="00DD3607">
            <w:pPr>
              <w:pStyle w:val="NoSpacing"/>
              <w:jc w:val="center"/>
            </w:pPr>
            <w:r>
              <w:t>53</w:t>
            </w:r>
          </w:p>
        </w:tc>
      </w:tr>
      <w:tr w:rsidR="006A710B" w:rsidTr="002866C8">
        <w:tc>
          <w:tcPr>
            <w:tcW w:w="2880" w:type="dxa"/>
          </w:tcPr>
          <w:p w:rsidR="006A710B" w:rsidRDefault="006A710B" w:rsidP="00DD3607">
            <w:pPr>
              <w:pStyle w:val="NoSpacing"/>
            </w:pPr>
            <w:r>
              <w:t>Charlotte</w:t>
            </w:r>
          </w:p>
        </w:tc>
        <w:tc>
          <w:tcPr>
            <w:tcW w:w="1530" w:type="dxa"/>
            <w:tcBorders>
              <w:right w:val="single" w:sz="4" w:space="0" w:color="auto"/>
            </w:tcBorders>
          </w:tcPr>
          <w:p w:rsidR="006A710B" w:rsidRDefault="006A737A" w:rsidP="000A15A2">
            <w:pPr>
              <w:pStyle w:val="NoSpacing"/>
              <w:jc w:val="center"/>
            </w:pPr>
            <w:r>
              <w:t>3</w:t>
            </w:r>
          </w:p>
        </w:tc>
        <w:tc>
          <w:tcPr>
            <w:tcW w:w="270" w:type="dxa"/>
            <w:tcBorders>
              <w:top w:val="nil"/>
              <w:left w:val="single" w:sz="4" w:space="0" w:color="auto"/>
              <w:bottom w:val="nil"/>
              <w:right w:val="single" w:sz="4" w:space="0" w:color="auto"/>
            </w:tcBorders>
            <w:shd w:val="clear" w:color="auto" w:fill="auto"/>
          </w:tcPr>
          <w:p w:rsidR="006A710B" w:rsidRDefault="006A710B" w:rsidP="000A15A2">
            <w:pPr>
              <w:pStyle w:val="NoSpacing"/>
            </w:pPr>
          </w:p>
        </w:tc>
        <w:tc>
          <w:tcPr>
            <w:tcW w:w="2610" w:type="dxa"/>
            <w:tcBorders>
              <w:left w:val="single" w:sz="4" w:space="0" w:color="auto"/>
            </w:tcBorders>
          </w:tcPr>
          <w:p w:rsidR="006A710B" w:rsidRDefault="006A710B" w:rsidP="00DD3607">
            <w:pPr>
              <w:pStyle w:val="NoSpacing"/>
            </w:pPr>
            <w:r>
              <w:t>Madison</w:t>
            </w:r>
          </w:p>
        </w:tc>
        <w:tc>
          <w:tcPr>
            <w:tcW w:w="1530" w:type="dxa"/>
          </w:tcPr>
          <w:p w:rsidR="006A710B" w:rsidRDefault="006A710B" w:rsidP="00DD3607">
            <w:pPr>
              <w:pStyle w:val="NoSpacing"/>
              <w:jc w:val="center"/>
            </w:pPr>
            <w:r>
              <w:t>1</w:t>
            </w:r>
          </w:p>
        </w:tc>
      </w:tr>
      <w:tr w:rsidR="006A710B" w:rsidTr="002866C8">
        <w:tc>
          <w:tcPr>
            <w:tcW w:w="2880" w:type="dxa"/>
          </w:tcPr>
          <w:p w:rsidR="006A710B" w:rsidRDefault="006A710B" w:rsidP="00DD3607">
            <w:pPr>
              <w:pStyle w:val="NoSpacing"/>
            </w:pPr>
            <w:r>
              <w:t>Citrus</w:t>
            </w:r>
          </w:p>
        </w:tc>
        <w:tc>
          <w:tcPr>
            <w:tcW w:w="1530" w:type="dxa"/>
            <w:tcBorders>
              <w:right w:val="single" w:sz="4" w:space="0" w:color="auto"/>
            </w:tcBorders>
          </w:tcPr>
          <w:p w:rsidR="006A710B" w:rsidRDefault="006A710B" w:rsidP="000A15A2">
            <w:pPr>
              <w:pStyle w:val="NoSpacing"/>
              <w:jc w:val="center"/>
            </w:pPr>
            <w:r>
              <w:t>51</w:t>
            </w:r>
          </w:p>
        </w:tc>
        <w:tc>
          <w:tcPr>
            <w:tcW w:w="270" w:type="dxa"/>
            <w:tcBorders>
              <w:top w:val="nil"/>
              <w:left w:val="single" w:sz="4" w:space="0" w:color="auto"/>
              <w:bottom w:val="nil"/>
              <w:right w:val="single" w:sz="4" w:space="0" w:color="auto"/>
            </w:tcBorders>
            <w:shd w:val="clear" w:color="auto" w:fill="auto"/>
          </w:tcPr>
          <w:p w:rsidR="006A710B" w:rsidRDefault="006A710B" w:rsidP="000A15A2">
            <w:pPr>
              <w:pStyle w:val="NoSpacing"/>
            </w:pPr>
          </w:p>
        </w:tc>
        <w:tc>
          <w:tcPr>
            <w:tcW w:w="2610" w:type="dxa"/>
            <w:tcBorders>
              <w:left w:val="single" w:sz="4" w:space="0" w:color="auto"/>
            </w:tcBorders>
          </w:tcPr>
          <w:p w:rsidR="006A710B" w:rsidRDefault="006A710B" w:rsidP="00DD3607">
            <w:pPr>
              <w:pStyle w:val="NoSpacing"/>
            </w:pPr>
            <w:r>
              <w:t>Manatee</w:t>
            </w:r>
          </w:p>
        </w:tc>
        <w:tc>
          <w:tcPr>
            <w:tcW w:w="1530" w:type="dxa"/>
          </w:tcPr>
          <w:p w:rsidR="006A710B" w:rsidRDefault="006A710B" w:rsidP="00DD3607">
            <w:pPr>
              <w:pStyle w:val="NoSpacing"/>
              <w:jc w:val="center"/>
            </w:pPr>
            <w:r>
              <w:t>1</w:t>
            </w:r>
          </w:p>
        </w:tc>
      </w:tr>
      <w:tr w:rsidR="006A710B" w:rsidTr="002866C8">
        <w:tc>
          <w:tcPr>
            <w:tcW w:w="2880" w:type="dxa"/>
          </w:tcPr>
          <w:p w:rsidR="006A710B" w:rsidRDefault="006A710B" w:rsidP="00DD3607">
            <w:pPr>
              <w:pStyle w:val="NoSpacing"/>
            </w:pPr>
            <w:r>
              <w:t>Clay</w:t>
            </w:r>
          </w:p>
        </w:tc>
        <w:tc>
          <w:tcPr>
            <w:tcW w:w="1530" w:type="dxa"/>
            <w:tcBorders>
              <w:right w:val="single" w:sz="4" w:space="0" w:color="auto"/>
            </w:tcBorders>
          </w:tcPr>
          <w:p w:rsidR="006A710B" w:rsidRDefault="006A710B" w:rsidP="000A15A2">
            <w:pPr>
              <w:pStyle w:val="NoSpacing"/>
              <w:jc w:val="center"/>
            </w:pPr>
            <w:r>
              <w:t>19</w:t>
            </w:r>
          </w:p>
        </w:tc>
        <w:tc>
          <w:tcPr>
            <w:tcW w:w="270" w:type="dxa"/>
            <w:tcBorders>
              <w:top w:val="nil"/>
              <w:left w:val="single" w:sz="4" w:space="0" w:color="auto"/>
              <w:bottom w:val="nil"/>
              <w:right w:val="single" w:sz="4" w:space="0" w:color="auto"/>
            </w:tcBorders>
            <w:shd w:val="clear" w:color="auto" w:fill="auto"/>
          </w:tcPr>
          <w:p w:rsidR="006A710B" w:rsidRDefault="006A710B" w:rsidP="000A15A2">
            <w:pPr>
              <w:pStyle w:val="NoSpacing"/>
            </w:pPr>
          </w:p>
        </w:tc>
        <w:tc>
          <w:tcPr>
            <w:tcW w:w="2610" w:type="dxa"/>
            <w:tcBorders>
              <w:left w:val="single" w:sz="4" w:space="0" w:color="auto"/>
            </w:tcBorders>
          </w:tcPr>
          <w:p w:rsidR="006A710B" w:rsidRDefault="006A710B" w:rsidP="00DD3607">
            <w:pPr>
              <w:pStyle w:val="NoSpacing"/>
            </w:pPr>
            <w:r>
              <w:t>Marion</w:t>
            </w:r>
          </w:p>
        </w:tc>
        <w:tc>
          <w:tcPr>
            <w:tcW w:w="1530" w:type="dxa"/>
          </w:tcPr>
          <w:p w:rsidR="006A710B" w:rsidRDefault="006A710B" w:rsidP="00DD3607">
            <w:pPr>
              <w:pStyle w:val="NoSpacing"/>
              <w:jc w:val="center"/>
            </w:pPr>
            <w:r>
              <w:t>196</w:t>
            </w:r>
          </w:p>
        </w:tc>
      </w:tr>
      <w:tr w:rsidR="006A710B" w:rsidTr="002866C8">
        <w:tc>
          <w:tcPr>
            <w:tcW w:w="2880" w:type="dxa"/>
          </w:tcPr>
          <w:p w:rsidR="006A710B" w:rsidRDefault="006A710B" w:rsidP="00DD3607">
            <w:pPr>
              <w:pStyle w:val="NoSpacing"/>
            </w:pPr>
            <w:r>
              <w:t>Collier</w:t>
            </w:r>
          </w:p>
        </w:tc>
        <w:tc>
          <w:tcPr>
            <w:tcW w:w="1530" w:type="dxa"/>
            <w:tcBorders>
              <w:right w:val="single" w:sz="4" w:space="0" w:color="auto"/>
            </w:tcBorders>
          </w:tcPr>
          <w:p w:rsidR="006A710B" w:rsidRDefault="006A710B" w:rsidP="000A15A2">
            <w:pPr>
              <w:pStyle w:val="NoSpacing"/>
              <w:jc w:val="center"/>
            </w:pPr>
            <w:r>
              <w:t>1</w:t>
            </w:r>
          </w:p>
        </w:tc>
        <w:tc>
          <w:tcPr>
            <w:tcW w:w="270" w:type="dxa"/>
            <w:tcBorders>
              <w:top w:val="nil"/>
              <w:left w:val="single" w:sz="4" w:space="0" w:color="auto"/>
              <w:bottom w:val="nil"/>
              <w:right w:val="single" w:sz="4" w:space="0" w:color="auto"/>
            </w:tcBorders>
            <w:shd w:val="clear" w:color="auto" w:fill="auto"/>
          </w:tcPr>
          <w:p w:rsidR="006A710B" w:rsidRDefault="006A710B" w:rsidP="000A15A2">
            <w:pPr>
              <w:pStyle w:val="NoSpacing"/>
            </w:pPr>
          </w:p>
        </w:tc>
        <w:tc>
          <w:tcPr>
            <w:tcW w:w="2610" w:type="dxa"/>
            <w:tcBorders>
              <w:left w:val="single" w:sz="4" w:space="0" w:color="auto"/>
            </w:tcBorders>
          </w:tcPr>
          <w:p w:rsidR="006A710B" w:rsidRDefault="006A710B" w:rsidP="00DD3607">
            <w:pPr>
              <w:pStyle w:val="NoSpacing"/>
            </w:pPr>
            <w:r>
              <w:t>Miami-Dade</w:t>
            </w:r>
          </w:p>
        </w:tc>
        <w:tc>
          <w:tcPr>
            <w:tcW w:w="1530" w:type="dxa"/>
          </w:tcPr>
          <w:p w:rsidR="006A710B" w:rsidRDefault="006A710B" w:rsidP="00DD3607">
            <w:pPr>
              <w:pStyle w:val="NoSpacing"/>
              <w:jc w:val="center"/>
            </w:pPr>
            <w:r>
              <w:t>1</w:t>
            </w:r>
          </w:p>
        </w:tc>
      </w:tr>
      <w:tr w:rsidR="006A710B" w:rsidTr="002866C8">
        <w:tc>
          <w:tcPr>
            <w:tcW w:w="2880" w:type="dxa"/>
          </w:tcPr>
          <w:p w:rsidR="006A710B" w:rsidRDefault="006A710B" w:rsidP="00DD3607">
            <w:pPr>
              <w:pStyle w:val="NoSpacing"/>
            </w:pPr>
            <w:r>
              <w:t>Columbia</w:t>
            </w:r>
          </w:p>
        </w:tc>
        <w:tc>
          <w:tcPr>
            <w:tcW w:w="1530" w:type="dxa"/>
            <w:tcBorders>
              <w:right w:val="single" w:sz="4" w:space="0" w:color="auto"/>
            </w:tcBorders>
          </w:tcPr>
          <w:p w:rsidR="006A710B" w:rsidRDefault="006A710B" w:rsidP="000A15A2">
            <w:pPr>
              <w:pStyle w:val="NoSpacing"/>
              <w:jc w:val="center"/>
            </w:pPr>
            <w:r>
              <w:t>44</w:t>
            </w:r>
          </w:p>
        </w:tc>
        <w:tc>
          <w:tcPr>
            <w:tcW w:w="270" w:type="dxa"/>
            <w:tcBorders>
              <w:top w:val="nil"/>
              <w:left w:val="single" w:sz="4" w:space="0" w:color="auto"/>
              <w:bottom w:val="nil"/>
              <w:right w:val="single" w:sz="4" w:space="0" w:color="auto"/>
            </w:tcBorders>
            <w:shd w:val="clear" w:color="auto" w:fill="auto"/>
          </w:tcPr>
          <w:p w:rsidR="006A710B" w:rsidRDefault="006A710B" w:rsidP="000A15A2">
            <w:pPr>
              <w:pStyle w:val="NoSpacing"/>
            </w:pPr>
          </w:p>
        </w:tc>
        <w:tc>
          <w:tcPr>
            <w:tcW w:w="2610" w:type="dxa"/>
            <w:tcBorders>
              <w:left w:val="single" w:sz="4" w:space="0" w:color="auto"/>
            </w:tcBorders>
          </w:tcPr>
          <w:p w:rsidR="006A710B" w:rsidRDefault="006A710B" w:rsidP="00DD3607">
            <w:pPr>
              <w:pStyle w:val="NoSpacing"/>
            </w:pPr>
            <w:r>
              <w:t>Nassau</w:t>
            </w:r>
          </w:p>
        </w:tc>
        <w:tc>
          <w:tcPr>
            <w:tcW w:w="1530" w:type="dxa"/>
          </w:tcPr>
          <w:p w:rsidR="006A710B" w:rsidRDefault="006A710B" w:rsidP="00DD3607">
            <w:pPr>
              <w:pStyle w:val="NoSpacing"/>
              <w:jc w:val="center"/>
            </w:pPr>
            <w:r>
              <w:t>1</w:t>
            </w:r>
          </w:p>
        </w:tc>
      </w:tr>
      <w:tr w:rsidR="006A710B" w:rsidTr="002866C8">
        <w:tc>
          <w:tcPr>
            <w:tcW w:w="2880" w:type="dxa"/>
          </w:tcPr>
          <w:p w:rsidR="006A710B" w:rsidRDefault="006A710B" w:rsidP="00DD3607">
            <w:pPr>
              <w:pStyle w:val="NoSpacing"/>
            </w:pPr>
            <w:r>
              <w:t>Dixie</w:t>
            </w:r>
          </w:p>
        </w:tc>
        <w:tc>
          <w:tcPr>
            <w:tcW w:w="1530" w:type="dxa"/>
            <w:tcBorders>
              <w:right w:val="single" w:sz="4" w:space="0" w:color="auto"/>
            </w:tcBorders>
          </w:tcPr>
          <w:p w:rsidR="006A710B" w:rsidRDefault="006A710B" w:rsidP="000A15A2">
            <w:pPr>
              <w:pStyle w:val="NoSpacing"/>
              <w:jc w:val="center"/>
            </w:pPr>
            <w:r>
              <w:t>8</w:t>
            </w:r>
          </w:p>
        </w:tc>
        <w:tc>
          <w:tcPr>
            <w:tcW w:w="270" w:type="dxa"/>
            <w:tcBorders>
              <w:top w:val="nil"/>
              <w:left w:val="single" w:sz="4" w:space="0" w:color="auto"/>
              <w:bottom w:val="nil"/>
              <w:right w:val="single" w:sz="4" w:space="0" w:color="auto"/>
            </w:tcBorders>
            <w:shd w:val="clear" w:color="auto" w:fill="auto"/>
          </w:tcPr>
          <w:p w:rsidR="006A710B" w:rsidRDefault="006A710B" w:rsidP="000A15A2">
            <w:pPr>
              <w:pStyle w:val="NoSpacing"/>
            </w:pPr>
          </w:p>
        </w:tc>
        <w:tc>
          <w:tcPr>
            <w:tcW w:w="2610" w:type="dxa"/>
            <w:tcBorders>
              <w:left w:val="single" w:sz="4" w:space="0" w:color="auto"/>
            </w:tcBorders>
          </w:tcPr>
          <w:p w:rsidR="006A710B" w:rsidRDefault="006A710B" w:rsidP="00DD3607">
            <w:pPr>
              <w:pStyle w:val="NoSpacing"/>
            </w:pPr>
            <w:r>
              <w:t>Orange</w:t>
            </w:r>
          </w:p>
        </w:tc>
        <w:tc>
          <w:tcPr>
            <w:tcW w:w="1530" w:type="dxa"/>
          </w:tcPr>
          <w:p w:rsidR="006A710B" w:rsidRDefault="006A710B" w:rsidP="00DD3607">
            <w:pPr>
              <w:pStyle w:val="NoSpacing"/>
              <w:jc w:val="center"/>
            </w:pPr>
            <w:r>
              <w:t>10</w:t>
            </w:r>
          </w:p>
        </w:tc>
      </w:tr>
      <w:tr w:rsidR="006A710B" w:rsidTr="002866C8">
        <w:tc>
          <w:tcPr>
            <w:tcW w:w="2880" w:type="dxa"/>
          </w:tcPr>
          <w:p w:rsidR="006A710B" w:rsidRDefault="006A710B" w:rsidP="00DD3607">
            <w:pPr>
              <w:pStyle w:val="NoSpacing"/>
            </w:pPr>
            <w:r>
              <w:t>Duval</w:t>
            </w:r>
          </w:p>
        </w:tc>
        <w:tc>
          <w:tcPr>
            <w:tcW w:w="1530" w:type="dxa"/>
            <w:tcBorders>
              <w:right w:val="single" w:sz="4" w:space="0" w:color="auto"/>
            </w:tcBorders>
          </w:tcPr>
          <w:p w:rsidR="006A710B" w:rsidRDefault="006A710B" w:rsidP="000A15A2">
            <w:pPr>
              <w:pStyle w:val="NoSpacing"/>
              <w:jc w:val="center"/>
            </w:pPr>
            <w:r>
              <w:t>19</w:t>
            </w:r>
          </w:p>
        </w:tc>
        <w:tc>
          <w:tcPr>
            <w:tcW w:w="270" w:type="dxa"/>
            <w:tcBorders>
              <w:top w:val="nil"/>
              <w:left w:val="single" w:sz="4" w:space="0" w:color="auto"/>
              <w:bottom w:val="nil"/>
              <w:right w:val="single" w:sz="4" w:space="0" w:color="auto"/>
            </w:tcBorders>
            <w:shd w:val="clear" w:color="auto" w:fill="auto"/>
          </w:tcPr>
          <w:p w:rsidR="006A710B" w:rsidRDefault="006A710B" w:rsidP="000A15A2">
            <w:pPr>
              <w:pStyle w:val="NoSpacing"/>
            </w:pPr>
          </w:p>
        </w:tc>
        <w:tc>
          <w:tcPr>
            <w:tcW w:w="2610" w:type="dxa"/>
            <w:tcBorders>
              <w:left w:val="single" w:sz="4" w:space="0" w:color="auto"/>
            </w:tcBorders>
          </w:tcPr>
          <w:p w:rsidR="006A710B" w:rsidRDefault="006A710B" w:rsidP="00DD3607">
            <w:pPr>
              <w:pStyle w:val="NoSpacing"/>
            </w:pPr>
            <w:r>
              <w:t>Osceola</w:t>
            </w:r>
          </w:p>
        </w:tc>
        <w:tc>
          <w:tcPr>
            <w:tcW w:w="1530" w:type="dxa"/>
          </w:tcPr>
          <w:p w:rsidR="006A710B" w:rsidRDefault="006A710B" w:rsidP="00DD3607">
            <w:pPr>
              <w:pStyle w:val="NoSpacing"/>
              <w:jc w:val="center"/>
            </w:pPr>
            <w:r>
              <w:t>6</w:t>
            </w:r>
          </w:p>
        </w:tc>
      </w:tr>
      <w:tr w:rsidR="006A710B" w:rsidTr="002866C8">
        <w:tc>
          <w:tcPr>
            <w:tcW w:w="2880" w:type="dxa"/>
          </w:tcPr>
          <w:p w:rsidR="006A710B" w:rsidRDefault="006A710B" w:rsidP="000561DA">
            <w:pPr>
              <w:pStyle w:val="NoSpacing"/>
            </w:pPr>
            <w:r>
              <w:t>Escambia</w:t>
            </w:r>
          </w:p>
        </w:tc>
        <w:tc>
          <w:tcPr>
            <w:tcW w:w="1530" w:type="dxa"/>
            <w:tcBorders>
              <w:right w:val="single" w:sz="4" w:space="0" w:color="auto"/>
            </w:tcBorders>
          </w:tcPr>
          <w:p w:rsidR="006A710B" w:rsidRDefault="006A710B" w:rsidP="000A15A2">
            <w:pPr>
              <w:pStyle w:val="NoSpacing"/>
              <w:jc w:val="center"/>
            </w:pPr>
            <w:r>
              <w:t>1</w:t>
            </w:r>
          </w:p>
        </w:tc>
        <w:tc>
          <w:tcPr>
            <w:tcW w:w="270" w:type="dxa"/>
            <w:tcBorders>
              <w:top w:val="nil"/>
              <w:left w:val="single" w:sz="4" w:space="0" w:color="auto"/>
              <w:bottom w:val="nil"/>
              <w:right w:val="single" w:sz="4" w:space="0" w:color="auto"/>
            </w:tcBorders>
            <w:shd w:val="clear" w:color="auto" w:fill="auto"/>
          </w:tcPr>
          <w:p w:rsidR="006A710B" w:rsidRDefault="006A710B" w:rsidP="000A15A2">
            <w:pPr>
              <w:pStyle w:val="NoSpacing"/>
            </w:pPr>
          </w:p>
        </w:tc>
        <w:tc>
          <w:tcPr>
            <w:tcW w:w="2610" w:type="dxa"/>
            <w:tcBorders>
              <w:left w:val="single" w:sz="4" w:space="0" w:color="auto"/>
            </w:tcBorders>
          </w:tcPr>
          <w:p w:rsidR="006A710B" w:rsidRDefault="006A710B" w:rsidP="00DD3607">
            <w:pPr>
              <w:pStyle w:val="NoSpacing"/>
            </w:pPr>
            <w:r>
              <w:t>Pasco</w:t>
            </w:r>
          </w:p>
        </w:tc>
        <w:tc>
          <w:tcPr>
            <w:tcW w:w="1530" w:type="dxa"/>
          </w:tcPr>
          <w:p w:rsidR="006A710B" w:rsidRDefault="006A737A" w:rsidP="00DD3607">
            <w:pPr>
              <w:pStyle w:val="NoSpacing"/>
              <w:jc w:val="center"/>
            </w:pPr>
            <w:r>
              <w:t>5</w:t>
            </w:r>
          </w:p>
        </w:tc>
      </w:tr>
      <w:tr w:rsidR="006A710B" w:rsidTr="002866C8">
        <w:tc>
          <w:tcPr>
            <w:tcW w:w="2880" w:type="dxa"/>
          </w:tcPr>
          <w:p w:rsidR="006A710B" w:rsidRDefault="006A710B" w:rsidP="000561DA">
            <w:pPr>
              <w:pStyle w:val="NoSpacing"/>
            </w:pPr>
            <w:r>
              <w:t>Flagler</w:t>
            </w:r>
          </w:p>
        </w:tc>
        <w:tc>
          <w:tcPr>
            <w:tcW w:w="1530" w:type="dxa"/>
            <w:tcBorders>
              <w:right w:val="single" w:sz="4" w:space="0" w:color="auto"/>
            </w:tcBorders>
          </w:tcPr>
          <w:p w:rsidR="006A710B" w:rsidRDefault="006A710B" w:rsidP="000A15A2">
            <w:pPr>
              <w:pStyle w:val="NoSpacing"/>
              <w:jc w:val="center"/>
            </w:pPr>
            <w:r>
              <w:t>10</w:t>
            </w:r>
          </w:p>
        </w:tc>
        <w:tc>
          <w:tcPr>
            <w:tcW w:w="270" w:type="dxa"/>
            <w:tcBorders>
              <w:top w:val="nil"/>
              <w:left w:val="single" w:sz="4" w:space="0" w:color="auto"/>
              <w:bottom w:val="nil"/>
              <w:right w:val="single" w:sz="4" w:space="0" w:color="auto"/>
            </w:tcBorders>
            <w:shd w:val="clear" w:color="auto" w:fill="auto"/>
          </w:tcPr>
          <w:p w:rsidR="006A710B" w:rsidRDefault="006A710B" w:rsidP="000A15A2">
            <w:pPr>
              <w:pStyle w:val="NoSpacing"/>
            </w:pPr>
          </w:p>
        </w:tc>
        <w:tc>
          <w:tcPr>
            <w:tcW w:w="2610" w:type="dxa"/>
            <w:tcBorders>
              <w:left w:val="single" w:sz="4" w:space="0" w:color="auto"/>
            </w:tcBorders>
          </w:tcPr>
          <w:p w:rsidR="006A710B" w:rsidRDefault="006A710B" w:rsidP="00DD3607">
            <w:pPr>
              <w:pStyle w:val="NoSpacing"/>
            </w:pPr>
            <w:r>
              <w:t>Pinellas</w:t>
            </w:r>
          </w:p>
        </w:tc>
        <w:tc>
          <w:tcPr>
            <w:tcW w:w="1530" w:type="dxa"/>
          </w:tcPr>
          <w:p w:rsidR="006A710B" w:rsidRDefault="006A737A" w:rsidP="00DD3607">
            <w:pPr>
              <w:pStyle w:val="NoSpacing"/>
              <w:jc w:val="center"/>
            </w:pPr>
            <w:r>
              <w:t>32</w:t>
            </w:r>
          </w:p>
        </w:tc>
      </w:tr>
      <w:tr w:rsidR="006A710B" w:rsidTr="002866C8">
        <w:tc>
          <w:tcPr>
            <w:tcW w:w="2880" w:type="dxa"/>
          </w:tcPr>
          <w:p w:rsidR="006A710B" w:rsidRDefault="006A710B" w:rsidP="00DF2C5C">
            <w:pPr>
              <w:pStyle w:val="NoSpacing"/>
            </w:pPr>
            <w:r>
              <w:t>Franklin</w:t>
            </w:r>
          </w:p>
        </w:tc>
        <w:tc>
          <w:tcPr>
            <w:tcW w:w="1530" w:type="dxa"/>
            <w:tcBorders>
              <w:right w:val="single" w:sz="4" w:space="0" w:color="auto"/>
            </w:tcBorders>
          </w:tcPr>
          <w:p w:rsidR="006A710B" w:rsidRDefault="006A710B" w:rsidP="000A15A2">
            <w:pPr>
              <w:pStyle w:val="NoSpacing"/>
              <w:jc w:val="center"/>
            </w:pPr>
            <w:r>
              <w:t>1</w:t>
            </w:r>
          </w:p>
        </w:tc>
        <w:tc>
          <w:tcPr>
            <w:tcW w:w="270" w:type="dxa"/>
            <w:tcBorders>
              <w:top w:val="nil"/>
              <w:left w:val="single" w:sz="4" w:space="0" w:color="auto"/>
              <w:bottom w:val="nil"/>
              <w:right w:val="single" w:sz="4" w:space="0" w:color="auto"/>
            </w:tcBorders>
            <w:shd w:val="clear" w:color="auto" w:fill="auto"/>
          </w:tcPr>
          <w:p w:rsidR="006A710B" w:rsidRDefault="006A710B" w:rsidP="000A15A2">
            <w:pPr>
              <w:pStyle w:val="NoSpacing"/>
            </w:pPr>
          </w:p>
        </w:tc>
        <w:tc>
          <w:tcPr>
            <w:tcW w:w="2610" w:type="dxa"/>
            <w:tcBorders>
              <w:left w:val="single" w:sz="4" w:space="0" w:color="auto"/>
            </w:tcBorders>
          </w:tcPr>
          <w:p w:rsidR="006A710B" w:rsidRDefault="006A710B" w:rsidP="00DD3607">
            <w:pPr>
              <w:pStyle w:val="NoSpacing"/>
            </w:pPr>
            <w:r>
              <w:t>Polk</w:t>
            </w:r>
          </w:p>
        </w:tc>
        <w:tc>
          <w:tcPr>
            <w:tcW w:w="1530" w:type="dxa"/>
          </w:tcPr>
          <w:p w:rsidR="006A710B" w:rsidRDefault="006A710B" w:rsidP="00DD3607">
            <w:pPr>
              <w:pStyle w:val="NoSpacing"/>
              <w:jc w:val="center"/>
            </w:pPr>
            <w:r>
              <w:t>6</w:t>
            </w:r>
          </w:p>
        </w:tc>
      </w:tr>
      <w:tr w:rsidR="006A710B" w:rsidTr="002866C8">
        <w:tc>
          <w:tcPr>
            <w:tcW w:w="2880" w:type="dxa"/>
          </w:tcPr>
          <w:p w:rsidR="006A710B" w:rsidRDefault="006A710B" w:rsidP="00DF2C5C">
            <w:pPr>
              <w:pStyle w:val="NoSpacing"/>
            </w:pPr>
            <w:r>
              <w:t>Gilchrist</w:t>
            </w:r>
          </w:p>
        </w:tc>
        <w:tc>
          <w:tcPr>
            <w:tcW w:w="1530" w:type="dxa"/>
            <w:tcBorders>
              <w:right w:val="single" w:sz="4" w:space="0" w:color="auto"/>
            </w:tcBorders>
          </w:tcPr>
          <w:p w:rsidR="006A710B" w:rsidRDefault="006A710B" w:rsidP="000A15A2">
            <w:pPr>
              <w:pStyle w:val="NoSpacing"/>
              <w:jc w:val="center"/>
            </w:pPr>
            <w:r>
              <w:t>15</w:t>
            </w:r>
          </w:p>
        </w:tc>
        <w:tc>
          <w:tcPr>
            <w:tcW w:w="270" w:type="dxa"/>
            <w:tcBorders>
              <w:top w:val="nil"/>
              <w:left w:val="single" w:sz="4" w:space="0" w:color="auto"/>
              <w:bottom w:val="nil"/>
              <w:right w:val="single" w:sz="4" w:space="0" w:color="auto"/>
            </w:tcBorders>
            <w:shd w:val="clear" w:color="auto" w:fill="auto"/>
          </w:tcPr>
          <w:p w:rsidR="006A710B" w:rsidRDefault="006A710B" w:rsidP="000A15A2">
            <w:pPr>
              <w:pStyle w:val="NoSpacing"/>
            </w:pPr>
          </w:p>
        </w:tc>
        <w:tc>
          <w:tcPr>
            <w:tcW w:w="2610" w:type="dxa"/>
            <w:tcBorders>
              <w:left w:val="single" w:sz="4" w:space="0" w:color="auto"/>
            </w:tcBorders>
          </w:tcPr>
          <w:p w:rsidR="006A710B" w:rsidRDefault="006A710B" w:rsidP="00DD3607">
            <w:pPr>
              <w:pStyle w:val="NoSpacing"/>
            </w:pPr>
            <w:r>
              <w:t>Putnam</w:t>
            </w:r>
          </w:p>
        </w:tc>
        <w:tc>
          <w:tcPr>
            <w:tcW w:w="1530" w:type="dxa"/>
          </w:tcPr>
          <w:p w:rsidR="006A710B" w:rsidRDefault="006A710B" w:rsidP="00DD3607">
            <w:pPr>
              <w:pStyle w:val="NoSpacing"/>
              <w:jc w:val="center"/>
            </w:pPr>
            <w:r>
              <w:t>31</w:t>
            </w:r>
          </w:p>
        </w:tc>
      </w:tr>
      <w:tr w:rsidR="006A710B" w:rsidTr="002866C8">
        <w:tc>
          <w:tcPr>
            <w:tcW w:w="2880" w:type="dxa"/>
          </w:tcPr>
          <w:p w:rsidR="006A710B" w:rsidRDefault="006A710B" w:rsidP="00DF2C5C">
            <w:pPr>
              <w:pStyle w:val="NoSpacing"/>
            </w:pPr>
            <w:r>
              <w:t>Gulf</w:t>
            </w:r>
          </w:p>
        </w:tc>
        <w:tc>
          <w:tcPr>
            <w:tcW w:w="1530" w:type="dxa"/>
            <w:tcBorders>
              <w:right w:val="single" w:sz="4" w:space="0" w:color="auto"/>
            </w:tcBorders>
          </w:tcPr>
          <w:p w:rsidR="006A710B" w:rsidRDefault="006A710B" w:rsidP="000A15A2">
            <w:pPr>
              <w:pStyle w:val="NoSpacing"/>
              <w:jc w:val="center"/>
            </w:pPr>
            <w:r>
              <w:t>1</w:t>
            </w:r>
          </w:p>
        </w:tc>
        <w:tc>
          <w:tcPr>
            <w:tcW w:w="270" w:type="dxa"/>
            <w:tcBorders>
              <w:top w:val="nil"/>
              <w:left w:val="single" w:sz="4" w:space="0" w:color="auto"/>
              <w:bottom w:val="nil"/>
              <w:right w:val="single" w:sz="4" w:space="0" w:color="auto"/>
            </w:tcBorders>
            <w:shd w:val="clear" w:color="auto" w:fill="auto"/>
          </w:tcPr>
          <w:p w:rsidR="006A710B" w:rsidRDefault="006A710B" w:rsidP="000A15A2">
            <w:pPr>
              <w:pStyle w:val="NoSpacing"/>
            </w:pPr>
          </w:p>
        </w:tc>
        <w:tc>
          <w:tcPr>
            <w:tcW w:w="2610" w:type="dxa"/>
            <w:tcBorders>
              <w:left w:val="single" w:sz="4" w:space="0" w:color="auto"/>
            </w:tcBorders>
          </w:tcPr>
          <w:p w:rsidR="006A710B" w:rsidRDefault="006A710B" w:rsidP="00DD3607">
            <w:pPr>
              <w:pStyle w:val="NoSpacing"/>
            </w:pPr>
            <w:r>
              <w:t>Sarasota</w:t>
            </w:r>
          </w:p>
        </w:tc>
        <w:tc>
          <w:tcPr>
            <w:tcW w:w="1530" w:type="dxa"/>
          </w:tcPr>
          <w:p w:rsidR="006A710B" w:rsidRDefault="006A737A" w:rsidP="00DD3607">
            <w:pPr>
              <w:pStyle w:val="NoSpacing"/>
              <w:jc w:val="center"/>
            </w:pPr>
            <w:r>
              <w:t>4</w:t>
            </w:r>
          </w:p>
        </w:tc>
      </w:tr>
      <w:tr w:rsidR="006A710B" w:rsidTr="002866C8">
        <w:tc>
          <w:tcPr>
            <w:tcW w:w="2880" w:type="dxa"/>
          </w:tcPr>
          <w:p w:rsidR="006A710B" w:rsidRDefault="006A710B" w:rsidP="00DF2C5C">
            <w:pPr>
              <w:pStyle w:val="NoSpacing"/>
            </w:pPr>
            <w:r>
              <w:t>Hamilton</w:t>
            </w:r>
          </w:p>
        </w:tc>
        <w:tc>
          <w:tcPr>
            <w:tcW w:w="1530" w:type="dxa"/>
            <w:tcBorders>
              <w:right w:val="single" w:sz="4" w:space="0" w:color="auto"/>
            </w:tcBorders>
          </w:tcPr>
          <w:p w:rsidR="006A710B" w:rsidRDefault="006A710B" w:rsidP="000A15A2">
            <w:pPr>
              <w:pStyle w:val="NoSpacing"/>
              <w:jc w:val="center"/>
            </w:pPr>
            <w:r>
              <w:t>4</w:t>
            </w:r>
          </w:p>
        </w:tc>
        <w:tc>
          <w:tcPr>
            <w:tcW w:w="270" w:type="dxa"/>
            <w:tcBorders>
              <w:top w:val="nil"/>
              <w:left w:val="single" w:sz="4" w:space="0" w:color="auto"/>
              <w:bottom w:val="nil"/>
              <w:right w:val="single" w:sz="4" w:space="0" w:color="auto"/>
            </w:tcBorders>
            <w:shd w:val="clear" w:color="auto" w:fill="auto"/>
          </w:tcPr>
          <w:p w:rsidR="006A710B" w:rsidRDefault="006A710B" w:rsidP="000A15A2">
            <w:pPr>
              <w:pStyle w:val="NoSpacing"/>
            </w:pPr>
          </w:p>
        </w:tc>
        <w:tc>
          <w:tcPr>
            <w:tcW w:w="2610" w:type="dxa"/>
            <w:tcBorders>
              <w:left w:val="single" w:sz="4" w:space="0" w:color="auto"/>
            </w:tcBorders>
          </w:tcPr>
          <w:p w:rsidR="006A710B" w:rsidRDefault="006A710B" w:rsidP="00DD3607">
            <w:pPr>
              <w:pStyle w:val="NoSpacing"/>
            </w:pPr>
            <w:r>
              <w:t>Seminole</w:t>
            </w:r>
          </w:p>
        </w:tc>
        <w:tc>
          <w:tcPr>
            <w:tcW w:w="1530" w:type="dxa"/>
          </w:tcPr>
          <w:p w:rsidR="006A710B" w:rsidRDefault="006A710B" w:rsidP="00DD3607">
            <w:pPr>
              <w:pStyle w:val="NoSpacing"/>
              <w:jc w:val="center"/>
            </w:pPr>
            <w:r>
              <w:t>3</w:t>
            </w:r>
          </w:p>
        </w:tc>
      </w:tr>
      <w:tr w:rsidR="006A710B" w:rsidTr="002866C8">
        <w:tc>
          <w:tcPr>
            <w:tcW w:w="2880" w:type="dxa"/>
          </w:tcPr>
          <w:p w:rsidR="006A710B" w:rsidRDefault="006A710B" w:rsidP="00DF2C5C">
            <w:pPr>
              <w:pStyle w:val="NoSpacing"/>
            </w:pPr>
            <w:r>
              <w:t>Hardee</w:t>
            </w:r>
          </w:p>
        </w:tc>
        <w:tc>
          <w:tcPr>
            <w:tcW w:w="1530" w:type="dxa"/>
            <w:tcBorders>
              <w:right w:val="single" w:sz="4" w:space="0" w:color="auto"/>
            </w:tcBorders>
          </w:tcPr>
          <w:p w:rsidR="006A710B" w:rsidRDefault="006A710B" w:rsidP="000A15A2">
            <w:pPr>
              <w:pStyle w:val="NoSpacing"/>
              <w:jc w:val="center"/>
            </w:pPr>
            <w:r>
              <w:t>1</w:t>
            </w:r>
          </w:p>
        </w:tc>
        <w:tc>
          <w:tcPr>
            <w:tcW w:w="270" w:type="dxa"/>
            <w:tcBorders>
              <w:top w:val="nil"/>
              <w:left w:val="single" w:sz="4" w:space="0" w:color="auto"/>
              <w:bottom w:val="nil"/>
              <w:right w:val="single" w:sz="4" w:space="0" w:color="auto"/>
            </w:tcBorders>
            <w:shd w:val="clear" w:color="auto" w:fill="auto"/>
          </w:tcPr>
          <w:p w:rsidR="006A710B" w:rsidRDefault="006A710B" w:rsidP="000A15A2">
            <w:pPr>
              <w:pStyle w:val="NoSpacing"/>
            </w:pPr>
          </w:p>
        </w:tc>
        <w:tc>
          <w:tcPr>
            <w:tcW w:w="2610" w:type="dxa"/>
            <w:tcBorders>
              <w:left w:val="single" w:sz="4" w:space="0" w:color="auto"/>
            </w:tcBorders>
          </w:tcPr>
          <w:p w:rsidR="006A710B" w:rsidRDefault="006A710B" w:rsidP="00DD3607">
            <w:pPr>
              <w:pStyle w:val="NoSpacing"/>
            </w:pPr>
            <w:r>
              <w:t>St. Johns</w:t>
            </w:r>
          </w:p>
        </w:tc>
        <w:tc>
          <w:tcPr>
            <w:tcW w:w="1530" w:type="dxa"/>
          </w:tcPr>
          <w:p w:rsidR="006A710B" w:rsidRDefault="006A710B" w:rsidP="00DD3607">
            <w:pPr>
              <w:pStyle w:val="NoSpacing"/>
              <w:jc w:val="center"/>
            </w:pPr>
            <w:r>
              <w:t>3</w:t>
            </w:r>
          </w:p>
        </w:tc>
      </w:tr>
      <w:tr w:rsidR="006A710B" w:rsidTr="002866C8">
        <w:tc>
          <w:tcPr>
            <w:tcW w:w="2880" w:type="dxa"/>
          </w:tcPr>
          <w:p w:rsidR="006A710B" w:rsidRDefault="006A710B" w:rsidP="00DF2C5C">
            <w:pPr>
              <w:pStyle w:val="NoSpacing"/>
            </w:pPr>
            <w:r>
              <w:t>Hernando</w:t>
            </w:r>
          </w:p>
        </w:tc>
        <w:tc>
          <w:tcPr>
            <w:tcW w:w="1530" w:type="dxa"/>
            <w:tcBorders>
              <w:right w:val="single" w:sz="4" w:space="0" w:color="auto"/>
            </w:tcBorders>
          </w:tcPr>
          <w:p w:rsidR="006A710B" w:rsidRDefault="006A737A" w:rsidP="000A15A2">
            <w:pPr>
              <w:pStyle w:val="NoSpacing"/>
              <w:jc w:val="center"/>
            </w:pPr>
            <w:r>
              <w:t>12</w:t>
            </w:r>
          </w:p>
        </w:tc>
        <w:tc>
          <w:tcPr>
            <w:tcW w:w="270" w:type="dxa"/>
            <w:tcBorders>
              <w:top w:val="nil"/>
              <w:left w:val="single" w:sz="4" w:space="0" w:color="auto"/>
              <w:bottom w:val="nil"/>
              <w:right w:val="single" w:sz="4" w:space="0" w:color="auto"/>
            </w:tcBorders>
            <w:shd w:val="clear" w:color="auto" w:fill="auto"/>
          </w:tcPr>
          <w:p w:rsidR="006A710B" w:rsidRDefault="006A710B" w:rsidP="000A15A2">
            <w:pPr>
              <w:pStyle w:val="NoSpacing"/>
            </w:pPr>
          </w:p>
        </w:tc>
        <w:tc>
          <w:tcPr>
            <w:tcW w:w="2610" w:type="dxa"/>
            <w:tcBorders>
              <w:left w:val="single" w:sz="4" w:space="0" w:color="auto"/>
            </w:tcBorders>
          </w:tcPr>
          <w:p w:rsidR="006A710B" w:rsidRDefault="006A710B" w:rsidP="00DD3607">
            <w:pPr>
              <w:pStyle w:val="NoSpacing"/>
            </w:pPr>
            <w:r>
              <w:t>St. Lucie</w:t>
            </w:r>
          </w:p>
        </w:tc>
        <w:tc>
          <w:tcPr>
            <w:tcW w:w="1530" w:type="dxa"/>
          </w:tcPr>
          <w:p w:rsidR="006A710B" w:rsidRDefault="006A710B" w:rsidP="00DD3607">
            <w:pPr>
              <w:pStyle w:val="NoSpacing"/>
              <w:jc w:val="center"/>
            </w:pPr>
            <w:r>
              <w:t>2</w:t>
            </w:r>
          </w:p>
        </w:tc>
      </w:tr>
      <w:tr w:rsidR="006A737A" w:rsidTr="002866C8">
        <w:tc>
          <w:tcPr>
            <w:tcW w:w="2880" w:type="dxa"/>
          </w:tcPr>
          <w:p w:rsidR="006A737A" w:rsidRDefault="006A737A" w:rsidP="00DF2C5C">
            <w:pPr>
              <w:pStyle w:val="NoSpacing"/>
            </w:pPr>
            <w:r>
              <w:t>Highlands</w:t>
            </w:r>
          </w:p>
        </w:tc>
        <w:tc>
          <w:tcPr>
            <w:tcW w:w="1530" w:type="dxa"/>
            <w:tcBorders>
              <w:right w:val="single" w:sz="4" w:space="0" w:color="auto"/>
            </w:tcBorders>
          </w:tcPr>
          <w:p w:rsidR="006A737A" w:rsidRDefault="006A737A" w:rsidP="000A15A2">
            <w:pPr>
              <w:pStyle w:val="NoSpacing"/>
              <w:jc w:val="center"/>
            </w:pPr>
            <w:r>
              <w:t>1</w:t>
            </w:r>
          </w:p>
        </w:tc>
        <w:tc>
          <w:tcPr>
            <w:tcW w:w="270" w:type="dxa"/>
            <w:tcBorders>
              <w:top w:val="nil"/>
              <w:left w:val="single" w:sz="4" w:space="0" w:color="auto"/>
              <w:bottom w:val="nil"/>
              <w:right w:val="single" w:sz="4" w:space="0" w:color="auto"/>
            </w:tcBorders>
            <w:shd w:val="clear" w:color="auto" w:fill="auto"/>
          </w:tcPr>
          <w:p w:rsidR="006A737A" w:rsidRDefault="006A737A" w:rsidP="000A15A2">
            <w:pPr>
              <w:pStyle w:val="NoSpacing"/>
            </w:pPr>
          </w:p>
        </w:tc>
        <w:tc>
          <w:tcPr>
            <w:tcW w:w="2610" w:type="dxa"/>
            <w:tcBorders>
              <w:left w:val="single" w:sz="4" w:space="0" w:color="auto"/>
            </w:tcBorders>
          </w:tcPr>
          <w:p w:rsidR="006A737A" w:rsidRDefault="006A737A" w:rsidP="009E1DF5">
            <w:pPr>
              <w:pStyle w:val="NoSpacing"/>
            </w:pPr>
            <w:r>
              <w:t>Sumter</w:t>
            </w:r>
          </w:p>
        </w:tc>
        <w:tc>
          <w:tcPr>
            <w:tcW w:w="1530" w:type="dxa"/>
          </w:tcPr>
          <w:p w:rsidR="006A737A" w:rsidRDefault="006A737A" w:rsidP="009E1DF5">
            <w:pPr>
              <w:pStyle w:val="NoSpacing"/>
              <w:jc w:val="center"/>
            </w:pPr>
            <w:r>
              <w:t>19</w:t>
            </w:r>
          </w:p>
        </w:tc>
      </w:tr>
      <w:tr w:rsidR="006A737A" w:rsidTr="002866C8">
        <w:tc>
          <w:tcPr>
            <w:tcW w:w="2880" w:type="dxa"/>
          </w:tcPr>
          <w:p w:rsidR="006A737A" w:rsidRDefault="006A737A" w:rsidP="00DF2C5C">
            <w:pPr>
              <w:pStyle w:val="NoSpacing"/>
            </w:pPr>
            <w:r>
              <w:t>Hillsborough</w:t>
            </w:r>
          </w:p>
        </w:tc>
        <w:tc>
          <w:tcPr>
            <w:tcW w:w="1530" w:type="dxa"/>
            <w:tcBorders>
              <w:right w:val="single" w:sz="4" w:space="0" w:color="auto"/>
            </w:tcBorders>
          </w:tcPr>
          <w:p w:rsidR="006A737A" w:rsidRDefault="006A737A" w:rsidP="000A15A2">
            <w:pPr>
              <w:pStyle w:val="NoSpacing"/>
              <w:jc w:val="center"/>
            </w:pPr>
            <w:r>
              <w:t>10</w:t>
            </w:r>
          </w:p>
        </w:tc>
        <w:tc>
          <w:tcPr>
            <w:tcW w:w="270" w:type="dxa"/>
            <w:tcBorders>
              <w:top w:val="nil"/>
              <w:left w:val="single" w:sz="4" w:space="0" w:color="auto"/>
              <w:bottom w:val="nil"/>
              <w:right w:val="single" w:sz="4" w:space="0" w:color="auto"/>
            </w:tcBorders>
            <w:shd w:val="clear" w:color="auto" w:fill="auto"/>
          </w:tcPr>
          <w:p w:rsidR="006A737A" w:rsidRDefault="006A737A" w:rsidP="000A15A2">
            <w:pPr>
              <w:pStyle w:val="NoSpacing"/>
            </w:pPr>
          </w:p>
        </w:tc>
        <w:tc>
          <w:tcPr>
            <w:tcW w:w="2610" w:type="dxa"/>
            <w:tcBorders>
              <w:left w:val="single" w:sz="4" w:space="0" w:color="auto"/>
            </w:tcBorders>
          </w:tcPr>
          <w:p w:rsidR="006A737A" w:rsidRDefault="006A737A" w:rsidP="009E1DF5">
            <w:pPr>
              <w:pStyle w:val="NoSpacing"/>
            </w:pPr>
            <w:r>
              <w:t>Suwannee</w:t>
            </w:r>
          </w:p>
        </w:tc>
        <w:tc>
          <w:tcPr>
            <w:tcW w:w="1530" w:type="dxa"/>
          </w:tcPr>
          <w:p w:rsidR="006A737A" w:rsidRDefault="006A737A" w:rsidP="009E1DF5">
            <w:pPr>
              <w:pStyle w:val="NoSpacing"/>
              <w:jc w:val="center"/>
            </w:pPr>
            <w:r>
              <w:t>21</w:t>
            </w:r>
          </w:p>
        </w:tc>
      </w:tr>
      <w:tr w:rsidR="006A737A" w:rsidTr="006A710B">
        <w:tc>
          <w:tcPr>
            <w:tcW w:w="2880" w:type="dxa"/>
          </w:tcPr>
          <w:p w:rsidR="006A737A" w:rsidRDefault="006A737A" w:rsidP="00DF2C5C">
            <w:pPr>
              <w:pStyle w:val="NoSpacing"/>
            </w:pPr>
            <w:r>
              <w:t>Holmes</w:t>
            </w:r>
          </w:p>
        </w:tc>
        <w:tc>
          <w:tcPr>
            <w:tcW w:w="1530" w:type="dxa"/>
            <w:tcBorders>
              <w:right w:val="single" w:sz="4" w:space="0" w:color="auto"/>
            </w:tcBorders>
          </w:tcPr>
          <w:p w:rsidR="006A737A" w:rsidRDefault="006A737A" w:rsidP="000A15A2">
            <w:pPr>
              <w:pStyle w:val="NoSpacing"/>
              <w:jc w:val="center"/>
            </w:pPr>
            <w:r>
              <w:t>1</w:t>
            </w:r>
          </w:p>
        </w:tc>
        <w:tc>
          <w:tcPr>
            <w:tcW w:w="270" w:type="dxa"/>
            <w:tcBorders>
              <w:top w:val="nil"/>
              <w:left w:val="single" w:sz="4" w:space="0" w:color="auto"/>
              <w:bottom w:val="nil"/>
              <w:right w:val="single" w:sz="4" w:space="0" w:color="auto"/>
            </w:tcBorders>
            <w:shd w:val="clear" w:color="auto" w:fill="auto"/>
          </w:tcPr>
          <w:p w:rsidR="006A737A" w:rsidRDefault="006A737A" w:rsidP="000A15A2">
            <w:pPr>
              <w:pStyle w:val="NoSpacing"/>
            </w:pPr>
          </w:p>
        </w:tc>
        <w:tc>
          <w:tcPr>
            <w:tcW w:w="2610" w:type="dxa"/>
            <w:tcBorders>
              <w:left w:val="single" w:sz="4" w:space="0" w:color="auto"/>
              <w:bottom w:val="single" w:sz="4" w:space="0" w:color="000000" w:themeColor="text1"/>
            </w:tcBorders>
          </w:tcPr>
          <w:p w:rsidR="006A737A" w:rsidRDefault="006A737A" w:rsidP="009E1DF5">
            <w:pPr>
              <w:pStyle w:val="NoSpacing"/>
            </w:pPr>
            <w:r>
              <w:t>Union</w:t>
            </w:r>
          </w:p>
        </w:tc>
        <w:tc>
          <w:tcPr>
            <w:tcW w:w="1530" w:type="dxa"/>
            <w:tcBorders>
              <w:bottom w:val="single" w:sz="4" w:space="0" w:color="000000" w:themeColor="text1"/>
            </w:tcBorders>
          </w:tcPr>
          <w:p w:rsidR="006A737A" w:rsidRDefault="006A737A" w:rsidP="009E1DF5">
            <w:pPr>
              <w:pStyle w:val="NoSpacing"/>
              <w:jc w:val="center"/>
            </w:pPr>
            <w:r>
              <w:t>6</w:t>
            </w:r>
          </w:p>
        </w:tc>
      </w:tr>
      <w:tr w:rsidR="006A737A" w:rsidTr="006A737A">
        <w:tc>
          <w:tcPr>
            <w:tcW w:w="2880" w:type="dxa"/>
          </w:tcPr>
          <w:p w:rsidR="006A737A" w:rsidRDefault="006A737A" w:rsidP="00DF2C5C">
            <w:pPr>
              <w:pStyle w:val="NoSpacing"/>
            </w:pPr>
            <w:r>
              <w:t>Indian River</w:t>
            </w:r>
          </w:p>
        </w:tc>
        <w:tc>
          <w:tcPr>
            <w:tcW w:w="1530" w:type="dxa"/>
            <w:tcBorders>
              <w:right w:val="single" w:sz="4" w:space="0" w:color="auto"/>
            </w:tcBorders>
          </w:tcPr>
          <w:p w:rsidR="006A737A" w:rsidRDefault="006A737A" w:rsidP="000A15A2">
            <w:pPr>
              <w:pStyle w:val="NoSpacing"/>
              <w:jc w:val="center"/>
            </w:pPr>
            <w:r>
              <w:t>2</w:t>
            </w:r>
          </w:p>
        </w:tc>
        <w:tc>
          <w:tcPr>
            <w:tcW w:w="270" w:type="dxa"/>
            <w:tcBorders>
              <w:top w:val="nil"/>
              <w:left w:val="single" w:sz="4" w:space="0" w:color="auto"/>
              <w:bottom w:val="nil"/>
              <w:right w:val="single" w:sz="4" w:space="0" w:color="auto"/>
            </w:tcBorders>
            <w:shd w:val="clear" w:color="auto" w:fill="auto"/>
          </w:tcPr>
          <w:p w:rsidR="006A737A" w:rsidRDefault="006A737A" w:rsidP="000A15A2">
            <w:pPr>
              <w:pStyle w:val="NoSpacing"/>
            </w:pPr>
          </w:p>
        </w:tc>
        <w:tc>
          <w:tcPr>
            <w:tcW w:w="2610" w:type="dxa"/>
            <w:tcBorders>
              <w:left w:val="single" w:sz="4" w:space="0" w:color="auto"/>
              <w:bottom w:val="single" w:sz="4" w:space="0" w:color="000000" w:themeColor="text1"/>
            </w:tcBorders>
            <w:shd w:val="clear" w:color="auto" w:fill="auto"/>
          </w:tcPr>
          <w:p w:rsidR="006A737A" w:rsidRDefault="006A737A" w:rsidP="009E1DF5">
            <w:pPr>
              <w:pStyle w:val="NoSpacing"/>
            </w:pPr>
            <w:r>
              <w:t>Volusia</w:t>
            </w:r>
          </w:p>
        </w:tc>
        <w:tc>
          <w:tcPr>
            <w:tcW w:w="1530" w:type="dxa"/>
            <w:tcBorders>
              <w:bottom w:val="single" w:sz="4" w:space="0" w:color="000000" w:themeColor="text1"/>
            </w:tcBorders>
            <w:shd w:val="clear" w:color="auto" w:fill="auto"/>
          </w:tcPr>
          <w:p w:rsidR="006A737A" w:rsidRDefault="006A737A" w:rsidP="009E1DF5">
            <w:pPr>
              <w:pStyle w:val="NoSpacing"/>
              <w:jc w:val="center"/>
            </w:pPr>
            <w:r>
              <w:t>13</w:t>
            </w:r>
          </w:p>
        </w:tc>
      </w:tr>
      <w:tr w:rsidR="006A737A" w:rsidTr="006A737A">
        <w:tc>
          <w:tcPr>
            <w:tcW w:w="2880" w:type="dxa"/>
          </w:tcPr>
          <w:p w:rsidR="006A737A" w:rsidRDefault="006A737A" w:rsidP="00DF2C5C">
            <w:pPr>
              <w:pStyle w:val="NoSpacing"/>
            </w:pPr>
            <w:r>
              <w:t>Jackson</w:t>
            </w:r>
          </w:p>
        </w:tc>
        <w:tc>
          <w:tcPr>
            <w:tcW w:w="1530" w:type="dxa"/>
            <w:tcBorders>
              <w:right w:val="single" w:sz="4" w:space="0" w:color="auto"/>
            </w:tcBorders>
          </w:tcPr>
          <w:p w:rsidR="006A737A" w:rsidRDefault="006A737A" w:rsidP="000A15A2">
            <w:pPr>
              <w:pStyle w:val="NoSpacing"/>
              <w:jc w:val="center"/>
            </w:pPr>
            <w:r>
              <w:t>3</w:t>
            </w:r>
          </w:p>
        </w:tc>
        <w:tc>
          <w:tcPr>
            <w:tcW w:w="270" w:type="dxa"/>
            <w:tcBorders>
              <w:top w:val="nil"/>
              <w:left w:val="single" w:sz="4" w:space="0" w:color="auto"/>
              <w:bottom w:val="nil"/>
              <w:right w:val="single" w:sz="4" w:space="0" w:color="auto"/>
            </w:tcBorders>
            <w:shd w:val="clear" w:color="auto" w:fill="auto"/>
          </w:tcPr>
          <w:p w:rsidR="006A737A" w:rsidRDefault="006A737A" w:rsidP="000A15A2">
            <w:pPr>
              <w:pStyle w:val="NoSpacing"/>
            </w:pPr>
          </w:p>
        </w:tc>
        <w:tc>
          <w:tcPr>
            <w:tcW w:w="2610" w:type="dxa"/>
            <w:tcBorders>
              <w:left w:val="single" w:sz="4" w:space="0" w:color="auto"/>
              <w:bottom w:val="single" w:sz="4" w:space="0" w:color="000000" w:themeColor="text1"/>
            </w:tcBorders>
            <w:shd w:val="clear" w:color="auto" w:fill="auto"/>
          </w:tcPr>
          <w:p w:rsidR="006A737A" w:rsidRDefault="006A737A" w:rsidP="009E1DF5">
            <w:pPr>
              <w:pStyle w:val="NoSpacing"/>
            </w:pPr>
            <w:r>
              <w:t>Wakulla</w:t>
            </w:r>
          </w:p>
        </w:tc>
        <w:tc>
          <w:tcPr>
            <w:tcW w:w="1530" w:type="dxa"/>
            <w:tcBorders>
              <w:bottom w:val="single" w:sz="4" w:space="0" w:color="000000" w:themeColor="text1"/>
            </w:tcBorders>
            <w:shd w:val="clear" w:color="auto" w:fill="auto"/>
          </w:tcPr>
          <w:p w:rsidR="006A737A" w:rsidRDefault="006A737A" w:rsidP="009E1DF5">
            <w:pPr>
              <w:pStyle w:val="NoSpacing"/>
              <w:jc w:val="center"/>
            </w:pPr>
            <w:r>
              <w:t>1</w:t>
            </w:r>
          </w:p>
        </w:tc>
      </w:tr>
      <w:tr w:rsidR="006A737A" w:rsidTr="006A737A">
        <w:trPr>
          <w:trHeight w:val="278"/>
        </w:trPr>
        <w:tc>
          <w:tcPr>
            <w:tcW w:w="2880" w:type="dxa"/>
          </w:tcPr>
          <w:p w:rsidR="006A737A" w:rsidRDefault="006A737A" w:rsidP="00DF2C5C">
            <w:pPr>
              <w:pStyle w:val="NoSpacing"/>
            </w:pPr>
            <w:r>
              <w:t>Jefferson</w:t>
            </w:r>
          </w:p>
        </w:tc>
        <w:tc>
          <w:tcPr>
            <w:tcW w:w="1530" w:type="dxa"/>
            <w:tcBorders>
              <w:right w:val="single" w:sz="4" w:space="0" w:color="auto"/>
            </w:tcBorders>
          </w:tcPr>
          <w:p w:rsidR="006A737A" w:rsidRDefault="006A737A" w:rsidP="000A15A2">
            <w:pPr>
              <w:pStyle w:val="NoSpacing"/>
              <w:jc w:val="center"/>
            </w:pPr>
            <w:r>
              <w:t>1</w:t>
            </w:r>
          </w:p>
        </w:tc>
        <w:tc>
          <w:tcPr>
            <w:tcW w:w="270" w:type="dxa"/>
            <w:tcBorders>
              <w:top w:val="nil"/>
              <w:left w:val="single" w:sz="4" w:space="0" w:color="auto"/>
              <w:bottom w:val="nil"/>
              <w:right w:val="nil"/>
            </w:tcBorders>
            <w:shd w:val="clear" w:color="auto" w:fill="auto"/>
          </w:tcPr>
          <w:p w:rsidR="006A737A" w:rsidRDefault="006A737A" w:rsidP="000A15A2">
            <w:pPr>
              <w:pStyle w:val="NoSpacing"/>
            </w:pPr>
          </w:p>
        </w:tc>
        <w:tc>
          <w:tcPr>
            <w:tcW w:w="2610" w:type="dxa"/>
            <w:tcBorders>
              <w:top w:val="single" w:sz="4" w:space="0" w:color="000000" w:themeColor="text1"/>
              <w:left w:val="nil"/>
              <w:bottom w:val="nil"/>
              <w:right w:val="nil"/>
            </w:tcBorders>
            <w:shd w:val="clear" w:color="auto" w:fill="auto"/>
          </w:tcPr>
          <w:p w:rsidR="006A737A" w:rsidRDefault="006A737A" w:rsidP="00DD3607">
            <w:pPr>
              <w:pStyle w:val="NoSpacing"/>
            </w:pPr>
          </w:p>
        </w:tc>
        <w:tc>
          <w:tcPr>
            <w:tcW w:w="1530" w:type="dxa"/>
            <w:tcBorders>
              <w:top w:val="single" w:sz="4" w:space="0" w:color="000000" w:themeColor="text1"/>
              <w:left w:val="nil"/>
              <w:bottom w:val="nil"/>
              <w:right w:val="nil"/>
            </w:tcBorders>
            <w:shd w:val="clear" w:color="auto" w:fill="auto"/>
          </w:tcPr>
          <w:p w:rsidR="006A737A" w:rsidRDefault="006A737A" w:rsidP="00DD3607">
            <w:pPr>
              <w:pStyle w:val="NoSpacing"/>
              <w:jc w:val="center"/>
            </w:pPr>
          </w:p>
        </w:tc>
      </w:tr>
    </w:tbl>
    <w:p w:rsidR="002866C8" w:rsidRDefault="002866C8" w:rsidP="002866C8"/>
    <w:p w:rsidR="002866C8" w:rsidRDefault="002866C8" w:rsidP="002866C8">
      <w:r>
        <w:t>The 201</w:t>
      </w:r>
      <w:r w:rsidR="004F7230">
        <w:t>3</w:t>
      </w:r>
      <w:r>
        <w:t xml:space="preserve"> survey respondents live in </w:t>
      </w:r>
      <w:r w:rsidR="004F7230">
        <w:t>50</w:t>
      </w:r>
      <w:r>
        <w:t xml:space="preserve"> different Florida counties. The largest number of patients, as would be expected, is from Alachua County</w:t>
      </w:r>
      <w:r w:rsidR="004D1352">
        <w:t xml:space="preserve"> (N=</w:t>
      </w:r>
      <w:r w:rsidR="00C11999">
        <w:t>3</w:t>
      </w:r>
      <w:r w:rsidR="004F7230">
        <w:t>75</w:t>
      </w:r>
      <w:r w:rsidR="004D1352">
        <w:t>)</w:t>
      </w:r>
      <w:r>
        <w:t xml:space="preserve"> with the second largest number from Marion County</w:t>
      </w:r>
      <w:r w:rsidR="004D1352">
        <w:t xml:space="preserve"> (N=</w:t>
      </w:r>
      <w:r w:rsidR="00C11999">
        <w:t>1</w:t>
      </w:r>
      <w:r w:rsidR="006A710B">
        <w:t>96</w:t>
      </w:r>
      <w:r w:rsidR="004D1352">
        <w:t>)</w:t>
      </w:r>
      <w:r>
        <w:t xml:space="preserve">. </w:t>
      </w:r>
    </w:p>
    <w:p w:rsidR="002866C8" w:rsidRDefault="002866C8" w:rsidP="006C3F26">
      <w:pPr>
        <w:pStyle w:val="Heading2"/>
        <w:rPr>
          <w:noProof/>
        </w:rPr>
      </w:pPr>
    </w:p>
    <w:p w:rsidR="002866C8" w:rsidRDefault="002866C8" w:rsidP="002866C8">
      <w:pPr>
        <w:rPr>
          <w:rFonts w:asciiTheme="majorHAnsi" w:eastAsiaTheme="majorEastAsia" w:hAnsiTheme="majorHAnsi" w:cstheme="majorBidi"/>
          <w:noProof/>
          <w:color w:val="4F81BD" w:themeColor="accent1"/>
          <w:sz w:val="26"/>
          <w:szCs w:val="26"/>
        </w:rPr>
      </w:pPr>
      <w:r>
        <w:rPr>
          <w:noProof/>
        </w:rPr>
        <w:br w:type="page"/>
      </w:r>
    </w:p>
    <w:p w:rsidR="00A5420F" w:rsidRDefault="00375E9F" w:rsidP="006C3F26">
      <w:pPr>
        <w:pStyle w:val="Heading2"/>
        <w:rPr>
          <w:noProof/>
        </w:rPr>
      </w:pPr>
      <w:bookmarkStart w:id="9" w:name="_Toc383680489"/>
      <w:r>
        <w:rPr>
          <w:noProof/>
        </w:rPr>
        <w:lastRenderedPageBreak/>
        <w:t>Race/</w:t>
      </w:r>
      <w:r w:rsidR="006C3F26">
        <w:rPr>
          <w:noProof/>
        </w:rPr>
        <w:t>Ethnicity</w:t>
      </w:r>
      <w:bookmarkEnd w:id="9"/>
    </w:p>
    <w:p w:rsidR="00385D6C" w:rsidRDefault="00385D6C" w:rsidP="00E267C3">
      <w:pPr>
        <w:jc w:val="center"/>
      </w:pPr>
    </w:p>
    <w:p w:rsidR="000D5521" w:rsidRDefault="00E267C3" w:rsidP="00E267C3">
      <w:pPr>
        <w:jc w:val="center"/>
      </w:pPr>
      <w:r>
        <w:t xml:space="preserve">Patients were asked: </w:t>
      </w:r>
      <w:r w:rsidR="000D5521" w:rsidRPr="000D5521">
        <w:rPr>
          <w:i/>
        </w:rPr>
        <w:t>“Which of the following best describe your race?”</w:t>
      </w:r>
      <w:r w:rsidR="000D5521">
        <w:t xml:space="preserve"> and </w:t>
      </w:r>
    </w:p>
    <w:p w:rsidR="000D5521" w:rsidRDefault="000D5521" w:rsidP="00E267C3">
      <w:pPr>
        <w:jc w:val="center"/>
      </w:pPr>
      <w:r w:rsidRPr="000D5521">
        <w:rPr>
          <w:i/>
        </w:rPr>
        <w:t>“Are you Hispanic, Latino, or Spanish?”</w:t>
      </w:r>
    </w:p>
    <w:p w:rsidR="006C3F26" w:rsidRDefault="006C3F26" w:rsidP="00A5420F">
      <w:pPr>
        <w:pStyle w:val="NoSpacing"/>
        <w:rPr>
          <w:noProof/>
        </w:rPr>
      </w:pPr>
    </w:p>
    <w:tbl>
      <w:tblPr>
        <w:tblStyle w:val="TableGrid"/>
        <w:tblW w:w="9575" w:type="dxa"/>
        <w:tblLook w:val="04A0" w:firstRow="1" w:lastRow="0" w:firstColumn="1" w:lastColumn="0" w:noHBand="0" w:noVBand="1"/>
      </w:tblPr>
      <w:tblGrid>
        <w:gridCol w:w="2680"/>
        <w:gridCol w:w="1379"/>
        <w:gridCol w:w="1379"/>
        <w:gridCol w:w="1379"/>
        <w:gridCol w:w="1379"/>
        <w:gridCol w:w="1379"/>
      </w:tblGrid>
      <w:tr w:rsidR="007257D4" w:rsidRPr="006C3F26" w:rsidTr="007257D4">
        <w:tc>
          <w:tcPr>
            <w:tcW w:w="2680" w:type="dxa"/>
            <w:shd w:val="clear" w:color="auto" w:fill="C6D9F1" w:themeFill="text2" w:themeFillTint="33"/>
          </w:tcPr>
          <w:p w:rsidR="007257D4" w:rsidRPr="006C3F26" w:rsidRDefault="007257D4" w:rsidP="00A5420F">
            <w:pPr>
              <w:pStyle w:val="NoSpacing"/>
              <w:rPr>
                <w:b/>
              </w:rPr>
            </w:pPr>
            <w:r>
              <w:rPr>
                <w:b/>
              </w:rPr>
              <w:t xml:space="preserve">Race / </w:t>
            </w:r>
            <w:r w:rsidRPr="006C3F26">
              <w:rPr>
                <w:b/>
              </w:rPr>
              <w:t>Ethnicity</w:t>
            </w:r>
          </w:p>
        </w:tc>
        <w:tc>
          <w:tcPr>
            <w:tcW w:w="1379" w:type="dxa"/>
            <w:shd w:val="clear" w:color="auto" w:fill="C6D9F1" w:themeFill="text2" w:themeFillTint="33"/>
          </w:tcPr>
          <w:p w:rsidR="007257D4" w:rsidRPr="006C3F26" w:rsidRDefault="007257D4" w:rsidP="00DD3607">
            <w:pPr>
              <w:pStyle w:val="NoSpacing"/>
              <w:jc w:val="center"/>
              <w:rPr>
                <w:b/>
              </w:rPr>
            </w:pPr>
            <w:r w:rsidRPr="006C3F26">
              <w:rPr>
                <w:b/>
              </w:rPr>
              <w:t>2009</w:t>
            </w:r>
          </w:p>
        </w:tc>
        <w:tc>
          <w:tcPr>
            <w:tcW w:w="1379" w:type="dxa"/>
            <w:shd w:val="clear" w:color="auto" w:fill="C6D9F1" w:themeFill="text2" w:themeFillTint="33"/>
          </w:tcPr>
          <w:p w:rsidR="007257D4" w:rsidRPr="000D5521" w:rsidRDefault="007257D4" w:rsidP="00DD3607">
            <w:pPr>
              <w:pStyle w:val="NoSpacing"/>
              <w:jc w:val="center"/>
              <w:rPr>
                <w:b/>
              </w:rPr>
            </w:pPr>
            <w:r w:rsidRPr="000D5521">
              <w:rPr>
                <w:b/>
              </w:rPr>
              <w:t>2010</w:t>
            </w:r>
          </w:p>
        </w:tc>
        <w:tc>
          <w:tcPr>
            <w:tcW w:w="1379" w:type="dxa"/>
            <w:shd w:val="clear" w:color="auto" w:fill="C6D9F1" w:themeFill="text2" w:themeFillTint="33"/>
          </w:tcPr>
          <w:p w:rsidR="007257D4" w:rsidRPr="006C3F26" w:rsidRDefault="007257D4" w:rsidP="00DD3607">
            <w:pPr>
              <w:pStyle w:val="NoSpacing"/>
              <w:jc w:val="center"/>
              <w:rPr>
                <w:b/>
              </w:rPr>
            </w:pPr>
            <w:r>
              <w:rPr>
                <w:b/>
              </w:rPr>
              <w:t>2011</w:t>
            </w:r>
          </w:p>
        </w:tc>
        <w:tc>
          <w:tcPr>
            <w:tcW w:w="1379" w:type="dxa"/>
            <w:shd w:val="clear" w:color="auto" w:fill="C6D9F1" w:themeFill="text2" w:themeFillTint="33"/>
          </w:tcPr>
          <w:p w:rsidR="007257D4" w:rsidRPr="006C3F26" w:rsidRDefault="007257D4" w:rsidP="00DD3607">
            <w:pPr>
              <w:pStyle w:val="NoSpacing"/>
              <w:jc w:val="center"/>
              <w:rPr>
                <w:b/>
              </w:rPr>
            </w:pPr>
            <w:r>
              <w:rPr>
                <w:b/>
              </w:rPr>
              <w:t>2012</w:t>
            </w:r>
          </w:p>
        </w:tc>
        <w:tc>
          <w:tcPr>
            <w:tcW w:w="1379" w:type="dxa"/>
            <w:shd w:val="clear" w:color="auto" w:fill="C6D9F1" w:themeFill="text2" w:themeFillTint="33"/>
          </w:tcPr>
          <w:p w:rsidR="007257D4" w:rsidRPr="006C3F26" w:rsidRDefault="007257D4" w:rsidP="00DF2C5C">
            <w:pPr>
              <w:pStyle w:val="NoSpacing"/>
              <w:jc w:val="center"/>
              <w:rPr>
                <w:b/>
              </w:rPr>
            </w:pPr>
            <w:r>
              <w:rPr>
                <w:b/>
              </w:rPr>
              <w:t>2013</w:t>
            </w:r>
          </w:p>
        </w:tc>
      </w:tr>
      <w:tr w:rsidR="007257D4" w:rsidTr="007257D4">
        <w:tc>
          <w:tcPr>
            <w:tcW w:w="2680" w:type="dxa"/>
          </w:tcPr>
          <w:p w:rsidR="007257D4" w:rsidRDefault="007257D4" w:rsidP="00A5420F">
            <w:pPr>
              <w:pStyle w:val="NoSpacing"/>
            </w:pPr>
            <w:r>
              <w:t>White</w:t>
            </w:r>
          </w:p>
        </w:tc>
        <w:tc>
          <w:tcPr>
            <w:tcW w:w="1379" w:type="dxa"/>
          </w:tcPr>
          <w:p w:rsidR="007257D4" w:rsidRDefault="007257D4" w:rsidP="00DD3607">
            <w:pPr>
              <w:pStyle w:val="NoSpacing"/>
              <w:jc w:val="center"/>
            </w:pPr>
            <w:r>
              <w:t>72.9%</w:t>
            </w:r>
          </w:p>
        </w:tc>
        <w:tc>
          <w:tcPr>
            <w:tcW w:w="1379" w:type="dxa"/>
          </w:tcPr>
          <w:p w:rsidR="007257D4" w:rsidRPr="000D5521" w:rsidRDefault="007257D4" w:rsidP="00DD3607">
            <w:pPr>
              <w:pStyle w:val="NoSpacing"/>
              <w:jc w:val="center"/>
            </w:pPr>
            <w:r w:rsidRPr="000D5521">
              <w:t>71.6%</w:t>
            </w:r>
          </w:p>
        </w:tc>
        <w:tc>
          <w:tcPr>
            <w:tcW w:w="1379" w:type="dxa"/>
          </w:tcPr>
          <w:p w:rsidR="007257D4" w:rsidRPr="000D5521" w:rsidRDefault="007257D4" w:rsidP="00DD3607">
            <w:pPr>
              <w:pStyle w:val="NoSpacing"/>
              <w:jc w:val="center"/>
            </w:pPr>
            <w:r>
              <w:t>74.8%</w:t>
            </w:r>
          </w:p>
        </w:tc>
        <w:tc>
          <w:tcPr>
            <w:tcW w:w="1379" w:type="dxa"/>
          </w:tcPr>
          <w:p w:rsidR="007257D4" w:rsidRDefault="007257D4" w:rsidP="00DD3607">
            <w:pPr>
              <w:pStyle w:val="NoSpacing"/>
              <w:jc w:val="center"/>
            </w:pPr>
            <w:r>
              <w:t>80.1%</w:t>
            </w:r>
          </w:p>
        </w:tc>
        <w:tc>
          <w:tcPr>
            <w:tcW w:w="1379" w:type="dxa"/>
          </w:tcPr>
          <w:p w:rsidR="007257D4" w:rsidRDefault="00176027" w:rsidP="00DF2C5C">
            <w:pPr>
              <w:pStyle w:val="NoSpacing"/>
              <w:jc w:val="center"/>
            </w:pPr>
            <w:r>
              <w:t>74.6%</w:t>
            </w:r>
          </w:p>
        </w:tc>
      </w:tr>
      <w:tr w:rsidR="007257D4" w:rsidTr="007257D4">
        <w:tc>
          <w:tcPr>
            <w:tcW w:w="2680" w:type="dxa"/>
          </w:tcPr>
          <w:p w:rsidR="007257D4" w:rsidRDefault="007257D4" w:rsidP="00A5420F">
            <w:pPr>
              <w:pStyle w:val="NoSpacing"/>
            </w:pPr>
            <w:r>
              <w:t>African American/Black</w:t>
            </w:r>
          </w:p>
        </w:tc>
        <w:tc>
          <w:tcPr>
            <w:tcW w:w="1379" w:type="dxa"/>
          </w:tcPr>
          <w:p w:rsidR="007257D4" w:rsidRDefault="007257D4" w:rsidP="00DD3607">
            <w:pPr>
              <w:pStyle w:val="NoSpacing"/>
              <w:jc w:val="center"/>
            </w:pPr>
            <w:r>
              <w:t>13.7%</w:t>
            </w:r>
          </w:p>
        </w:tc>
        <w:tc>
          <w:tcPr>
            <w:tcW w:w="1379" w:type="dxa"/>
          </w:tcPr>
          <w:p w:rsidR="007257D4" w:rsidRPr="000D5521" w:rsidRDefault="007257D4" w:rsidP="00DD3607">
            <w:pPr>
              <w:pStyle w:val="NoSpacing"/>
              <w:jc w:val="center"/>
            </w:pPr>
            <w:r w:rsidRPr="000D5521">
              <w:t>12.5%</w:t>
            </w:r>
          </w:p>
        </w:tc>
        <w:tc>
          <w:tcPr>
            <w:tcW w:w="1379" w:type="dxa"/>
          </w:tcPr>
          <w:p w:rsidR="007257D4" w:rsidRPr="000D5521" w:rsidRDefault="007257D4" w:rsidP="00DD3607">
            <w:pPr>
              <w:pStyle w:val="NoSpacing"/>
              <w:jc w:val="center"/>
            </w:pPr>
            <w:r>
              <w:t>15.2%</w:t>
            </w:r>
          </w:p>
        </w:tc>
        <w:tc>
          <w:tcPr>
            <w:tcW w:w="1379" w:type="dxa"/>
          </w:tcPr>
          <w:p w:rsidR="007257D4" w:rsidRDefault="007257D4" w:rsidP="00DD3607">
            <w:pPr>
              <w:pStyle w:val="NoSpacing"/>
              <w:jc w:val="center"/>
            </w:pPr>
            <w:r>
              <w:t>12.8%</w:t>
            </w:r>
          </w:p>
        </w:tc>
        <w:tc>
          <w:tcPr>
            <w:tcW w:w="1379" w:type="dxa"/>
          </w:tcPr>
          <w:p w:rsidR="007257D4" w:rsidRDefault="00176027" w:rsidP="00DF2C5C">
            <w:pPr>
              <w:pStyle w:val="NoSpacing"/>
              <w:jc w:val="center"/>
            </w:pPr>
            <w:r>
              <w:t>1</w:t>
            </w:r>
            <w:r w:rsidR="00B30851">
              <w:t>6.3</w:t>
            </w:r>
            <w:r>
              <w:t>%</w:t>
            </w:r>
          </w:p>
        </w:tc>
      </w:tr>
      <w:tr w:rsidR="007257D4" w:rsidTr="007257D4">
        <w:tc>
          <w:tcPr>
            <w:tcW w:w="2680" w:type="dxa"/>
          </w:tcPr>
          <w:p w:rsidR="007257D4" w:rsidRDefault="007257D4" w:rsidP="00A5420F">
            <w:pPr>
              <w:pStyle w:val="NoSpacing"/>
            </w:pPr>
            <w:r>
              <w:t>Hispanic</w:t>
            </w:r>
          </w:p>
        </w:tc>
        <w:tc>
          <w:tcPr>
            <w:tcW w:w="1379" w:type="dxa"/>
          </w:tcPr>
          <w:p w:rsidR="007257D4" w:rsidRDefault="007257D4" w:rsidP="00DD3607">
            <w:pPr>
              <w:pStyle w:val="NoSpacing"/>
              <w:jc w:val="center"/>
            </w:pPr>
            <w:r>
              <w:t>5.3%</w:t>
            </w:r>
          </w:p>
        </w:tc>
        <w:tc>
          <w:tcPr>
            <w:tcW w:w="1379" w:type="dxa"/>
          </w:tcPr>
          <w:p w:rsidR="007257D4" w:rsidRPr="000D5521" w:rsidRDefault="007257D4" w:rsidP="00DD3607">
            <w:pPr>
              <w:pStyle w:val="NoSpacing"/>
              <w:jc w:val="center"/>
            </w:pPr>
            <w:r w:rsidRPr="000D5521">
              <w:t>7.8%</w:t>
            </w:r>
          </w:p>
        </w:tc>
        <w:tc>
          <w:tcPr>
            <w:tcW w:w="1379" w:type="dxa"/>
          </w:tcPr>
          <w:p w:rsidR="007257D4" w:rsidRPr="000D5521" w:rsidRDefault="007257D4" w:rsidP="00DD3607">
            <w:pPr>
              <w:pStyle w:val="NoSpacing"/>
              <w:jc w:val="center"/>
            </w:pPr>
            <w:r>
              <w:t>8.9%</w:t>
            </w:r>
          </w:p>
        </w:tc>
        <w:tc>
          <w:tcPr>
            <w:tcW w:w="1379" w:type="dxa"/>
          </w:tcPr>
          <w:p w:rsidR="007257D4" w:rsidRDefault="007257D4" w:rsidP="00DD3607">
            <w:pPr>
              <w:pStyle w:val="NoSpacing"/>
              <w:jc w:val="center"/>
            </w:pPr>
            <w:r>
              <w:t>7.9%</w:t>
            </w:r>
          </w:p>
        </w:tc>
        <w:tc>
          <w:tcPr>
            <w:tcW w:w="1379" w:type="dxa"/>
          </w:tcPr>
          <w:p w:rsidR="007257D4" w:rsidRDefault="00176027" w:rsidP="00DF2C5C">
            <w:pPr>
              <w:pStyle w:val="NoSpacing"/>
              <w:jc w:val="center"/>
            </w:pPr>
            <w:r>
              <w:t>8.6%</w:t>
            </w:r>
          </w:p>
        </w:tc>
      </w:tr>
      <w:tr w:rsidR="007257D4" w:rsidTr="007257D4">
        <w:tc>
          <w:tcPr>
            <w:tcW w:w="2680" w:type="dxa"/>
          </w:tcPr>
          <w:p w:rsidR="007257D4" w:rsidRDefault="007257D4" w:rsidP="00A5420F">
            <w:pPr>
              <w:pStyle w:val="NoSpacing"/>
            </w:pPr>
            <w:r>
              <w:t>Asian</w:t>
            </w:r>
          </w:p>
        </w:tc>
        <w:tc>
          <w:tcPr>
            <w:tcW w:w="1379" w:type="dxa"/>
          </w:tcPr>
          <w:p w:rsidR="007257D4" w:rsidRDefault="007257D4" w:rsidP="00DD3607">
            <w:pPr>
              <w:pStyle w:val="NoSpacing"/>
              <w:jc w:val="center"/>
            </w:pPr>
            <w:r>
              <w:t>3.8%</w:t>
            </w:r>
          </w:p>
        </w:tc>
        <w:tc>
          <w:tcPr>
            <w:tcW w:w="1379" w:type="dxa"/>
          </w:tcPr>
          <w:p w:rsidR="007257D4" w:rsidRPr="000D5521" w:rsidRDefault="007257D4" w:rsidP="00DD3607">
            <w:pPr>
              <w:pStyle w:val="NoSpacing"/>
              <w:jc w:val="center"/>
            </w:pPr>
            <w:r w:rsidRPr="000D5521">
              <w:t>3.1%</w:t>
            </w:r>
          </w:p>
        </w:tc>
        <w:tc>
          <w:tcPr>
            <w:tcW w:w="1379" w:type="dxa"/>
          </w:tcPr>
          <w:p w:rsidR="007257D4" w:rsidRPr="000D5521" w:rsidRDefault="007257D4" w:rsidP="00DD3607">
            <w:pPr>
              <w:pStyle w:val="NoSpacing"/>
              <w:jc w:val="center"/>
            </w:pPr>
            <w:r>
              <w:t>3.5%</w:t>
            </w:r>
          </w:p>
        </w:tc>
        <w:tc>
          <w:tcPr>
            <w:tcW w:w="1379" w:type="dxa"/>
          </w:tcPr>
          <w:p w:rsidR="007257D4" w:rsidRDefault="007257D4" w:rsidP="00DD3607">
            <w:pPr>
              <w:pStyle w:val="NoSpacing"/>
              <w:jc w:val="center"/>
            </w:pPr>
            <w:r>
              <w:t>2.2%</w:t>
            </w:r>
          </w:p>
        </w:tc>
        <w:tc>
          <w:tcPr>
            <w:tcW w:w="1379" w:type="dxa"/>
          </w:tcPr>
          <w:p w:rsidR="007257D4" w:rsidRDefault="00176027" w:rsidP="00DF2C5C">
            <w:pPr>
              <w:pStyle w:val="NoSpacing"/>
              <w:jc w:val="center"/>
            </w:pPr>
            <w:r>
              <w:t>3.8%</w:t>
            </w:r>
          </w:p>
        </w:tc>
      </w:tr>
      <w:tr w:rsidR="007257D4" w:rsidTr="007257D4">
        <w:tc>
          <w:tcPr>
            <w:tcW w:w="2680" w:type="dxa"/>
          </w:tcPr>
          <w:p w:rsidR="007257D4" w:rsidRDefault="007257D4" w:rsidP="00A5420F">
            <w:pPr>
              <w:pStyle w:val="NoSpacing"/>
            </w:pPr>
            <w:r>
              <w:t>American Indian/Alaskan</w:t>
            </w:r>
          </w:p>
        </w:tc>
        <w:tc>
          <w:tcPr>
            <w:tcW w:w="1379" w:type="dxa"/>
          </w:tcPr>
          <w:p w:rsidR="007257D4" w:rsidRDefault="007257D4" w:rsidP="00DD3607">
            <w:pPr>
              <w:pStyle w:val="NoSpacing"/>
              <w:jc w:val="center"/>
            </w:pPr>
            <w:r>
              <w:t>1.3%</w:t>
            </w:r>
          </w:p>
        </w:tc>
        <w:tc>
          <w:tcPr>
            <w:tcW w:w="1379" w:type="dxa"/>
          </w:tcPr>
          <w:p w:rsidR="007257D4" w:rsidRPr="000D5521" w:rsidRDefault="007257D4" w:rsidP="00DD3607">
            <w:pPr>
              <w:pStyle w:val="NoSpacing"/>
              <w:jc w:val="center"/>
            </w:pPr>
            <w:r w:rsidRPr="000D5521">
              <w:t>1.4%</w:t>
            </w:r>
          </w:p>
        </w:tc>
        <w:tc>
          <w:tcPr>
            <w:tcW w:w="1379" w:type="dxa"/>
          </w:tcPr>
          <w:p w:rsidR="007257D4" w:rsidRPr="000D5521" w:rsidRDefault="007257D4" w:rsidP="00DD3607">
            <w:pPr>
              <w:pStyle w:val="NoSpacing"/>
              <w:jc w:val="center"/>
            </w:pPr>
            <w:r>
              <w:t>1.8%</w:t>
            </w:r>
          </w:p>
        </w:tc>
        <w:tc>
          <w:tcPr>
            <w:tcW w:w="1379" w:type="dxa"/>
          </w:tcPr>
          <w:p w:rsidR="007257D4" w:rsidRDefault="007257D4" w:rsidP="00DD3607">
            <w:pPr>
              <w:pStyle w:val="NoSpacing"/>
              <w:jc w:val="center"/>
            </w:pPr>
            <w:r>
              <w:t>0.7%</w:t>
            </w:r>
          </w:p>
        </w:tc>
        <w:tc>
          <w:tcPr>
            <w:tcW w:w="1379" w:type="dxa"/>
          </w:tcPr>
          <w:p w:rsidR="007257D4" w:rsidRDefault="00B30851" w:rsidP="00DF2C5C">
            <w:pPr>
              <w:pStyle w:val="NoSpacing"/>
              <w:jc w:val="center"/>
            </w:pPr>
            <w:r>
              <w:t>1.3</w:t>
            </w:r>
            <w:r w:rsidR="00176027">
              <w:t>%</w:t>
            </w:r>
          </w:p>
        </w:tc>
      </w:tr>
      <w:tr w:rsidR="007257D4" w:rsidTr="007257D4">
        <w:tc>
          <w:tcPr>
            <w:tcW w:w="2680" w:type="dxa"/>
          </w:tcPr>
          <w:p w:rsidR="007257D4" w:rsidRDefault="007257D4" w:rsidP="00A5420F">
            <w:pPr>
              <w:pStyle w:val="NoSpacing"/>
            </w:pPr>
            <w:r>
              <w:t>Middle Eastern/Indian</w:t>
            </w:r>
          </w:p>
        </w:tc>
        <w:tc>
          <w:tcPr>
            <w:tcW w:w="1379" w:type="dxa"/>
          </w:tcPr>
          <w:p w:rsidR="007257D4" w:rsidRDefault="007257D4" w:rsidP="00DD3607">
            <w:pPr>
              <w:pStyle w:val="NoSpacing"/>
              <w:jc w:val="center"/>
            </w:pPr>
            <w:r>
              <w:t>1.1%</w:t>
            </w:r>
          </w:p>
        </w:tc>
        <w:tc>
          <w:tcPr>
            <w:tcW w:w="1379" w:type="dxa"/>
          </w:tcPr>
          <w:p w:rsidR="007257D4" w:rsidRPr="000D5521" w:rsidRDefault="007257D4" w:rsidP="00DD3607">
            <w:pPr>
              <w:pStyle w:val="NoSpacing"/>
              <w:jc w:val="center"/>
            </w:pPr>
            <w:r w:rsidRPr="000D5521">
              <w:t>1.1%</w:t>
            </w:r>
          </w:p>
        </w:tc>
        <w:tc>
          <w:tcPr>
            <w:tcW w:w="1379" w:type="dxa"/>
          </w:tcPr>
          <w:p w:rsidR="007257D4" w:rsidRPr="000D5521" w:rsidRDefault="007257D4" w:rsidP="00DD3607">
            <w:pPr>
              <w:pStyle w:val="NoSpacing"/>
              <w:jc w:val="center"/>
            </w:pPr>
            <w:r>
              <w:t>N/A</w:t>
            </w:r>
          </w:p>
        </w:tc>
        <w:tc>
          <w:tcPr>
            <w:tcW w:w="1379" w:type="dxa"/>
          </w:tcPr>
          <w:p w:rsidR="007257D4" w:rsidRDefault="007257D4" w:rsidP="00DD3607">
            <w:pPr>
              <w:pStyle w:val="NoSpacing"/>
              <w:jc w:val="center"/>
            </w:pPr>
            <w:r>
              <w:t>N/A</w:t>
            </w:r>
          </w:p>
        </w:tc>
        <w:tc>
          <w:tcPr>
            <w:tcW w:w="1379" w:type="dxa"/>
          </w:tcPr>
          <w:p w:rsidR="007257D4" w:rsidRDefault="00176027" w:rsidP="00DF2C5C">
            <w:pPr>
              <w:pStyle w:val="NoSpacing"/>
              <w:jc w:val="center"/>
            </w:pPr>
            <w:r>
              <w:t>N/A%</w:t>
            </w:r>
          </w:p>
        </w:tc>
      </w:tr>
      <w:tr w:rsidR="007257D4" w:rsidTr="007257D4">
        <w:tc>
          <w:tcPr>
            <w:tcW w:w="2680" w:type="dxa"/>
          </w:tcPr>
          <w:p w:rsidR="007257D4" w:rsidRDefault="007257D4" w:rsidP="00A5420F">
            <w:pPr>
              <w:pStyle w:val="NoSpacing"/>
            </w:pPr>
            <w:r>
              <w:t>Native Hawaiian/PI</w:t>
            </w:r>
          </w:p>
        </w:tc>
        <w:tc>
          <w:tcPr>
            <w:tcW w:w="1379" w:type="dxa"/>
          </w:tcPr>
          <w:p w:rsidR="007257D4" w:rsidRDefault="007257D4" w:rsidP="00DD3607">
            <w:pPr>
              <w:pStyle w:val="NoSpacing"/>
              <w:jc w:val="center"/>
            </w:pPr>
            <w:r>
              <w:t>0.2%</w:t>
            </w:r>
          </w:p>
        </w:tc>
        <w:tc>
          <w:tcPr>
            <w:tcW w:w="1379" w:type="dxa"/>
          </w:tcPr>
          <w:p w:rsidR="007257D4" w:rsidRPr="000D5521" w:rsidRDefault="007257D4" w:rsidP="00DD3607">
            <w:pPr>
              <w:pStyle w:val="NoSpacing"/>
              <w:jc w:val="center"/>
            </w:pPr>
            <w:r w:rsidRPr="000D5521">
              <w:t>0.0%</w:t>
            </w:r>
          </w:p>
        </w:tc>
        <w:tc>
          <w:tcPr>
            <w:tcW w:w="1379" w:type="dxa"/>
          </w:tcPr>
          <w:p w:rsidR="007257D4" w:rsidRPr="000D5521" w:rsidRDefault="007257D4" w:rsidP="00DD3607">
            <w:pPr>
              <w:pStyle w:val="NoSpacing"/>
              <w:jc w:val="center"/>
            </w:pPr>
            <w:r>
              <w:t>0.0%</w:t>
            </w:r>
          </w:p>
        </w:tc>
        <w:tc>
          <w:tcPr>
            <w:tcW w:w="1379" w:type="dxa"/>
          </w:tcPr>
          <w:p w:rsidR="007257D4" w:rsidRDefault="007257D4" w:rsidP="00DD3607">
            <w:pPr>
              <w:pStyle w:val="NoSpacing"/>
              <w:jc w:val="center"/>
            </w:pPr>
            <w:r>
              <w:t>0.1%</w:t>
            </w:r>
          </w:p>
        </w:tc>
        <w:tc>
          <w:tcPr>
            <w:tcW w:w="1379" w:type="dxa"/>
          </w:tcPr>
          <w:p w:rsidR="007257D4" w:rsidRDefault="00B30851" w:rsidP="00DF2C5C">
            <w:pPr>
              <w:pStyle w:val="NoSpacing"/>
              <w:jc w:val="center"/>
            </w:pPr>
            <w:r>
              <w:t>0.4</w:t>
            </w:r>
            <w:r w:rsidR="00176027">
              <w:t>%</w:t>
            </w:r>
          </w:p>
        </w:tc>
      </w:tr>
      <w:tr w:rsidR="007257D4" w:rsidTr="007257D4">
        <w:tc>
          <w:tcPr>
            <w:tcW w:w="2680" w:type="dxa"/>
          </w:tcPr>
          <w:p w:rsidR="007257D4" w:rsidRDefault="007257D4" w:rsidP="00A5420F">
            <w:pPr>
              <w:pStyle w:val="NoSpacing"/>
            </w:pPr>
            <w:r>
              <w:t>Pacific Islander</w:t>
            </w:r>
          </w:p>
        </w:tc>
        <w:tc>
          <w:tcPr>
            <w:tcW w:w="1379" w:type="dxa"/>
          </w:tcPr>
          <w:p w:rsidR="007257D4" w:rsidRDefault="007257D4" w:rsidP="00DD3607">
            <w:pPr>
              <w:pStyle w:val="NoSpacing"/>
              <w:jc w:val="center"/>
            </w:pPr>
            <w:r>
              <w:t>0.0%</w:t>
            </w:r>
          </w:p>
        </w:tc>
        <w:tc>
          <w:tcPr>
            <w:tcW w:w="1379" w:type="dxa"/>
          </w:tcPr>
          <w:p w:rsidR="007257D4" w:rsidRPr="000D5521" w:rsidRDefault="007257D4" w:rsidP="00DD3607">
            <w:pPr>
              <w:pStyle w:val="NoSpacing"/>
              <w:jc w:val="center"/>
            </w:pPr>
            <w:r w:rsidRPr="000D5521">
              <w:t>0.3%</w:t>
            </w:r>
          </w:p>
        </w:tc>
        <w:tc>
          <w:tcPr>
            <w:tcW w:w="1379" w:type="dxa"/>
          </w:tcPr>
          <w:p w:rsidR="007257D4" w:rsidRPr="000D5521" w:rsidRDefault="007257D4" w:rsidP="00DD3607">
            <w:pPr>
              <w:pStyle w:val="NoSpacing"/>
              <w:jc w:val="center"/>
            </w:pPr>
            <w:r>
              <w:t>0.0%</w:t>
            </w:r>
          </w:p>
        </w:tc>
        <w:tc>
          <w:tcPr>
            <w:tcW w:w="1379" w:type="dxa"/>
          </w:tcPr>
          <w:p w:rsidR="007257D4" w:rsidRDefault="007257D4" w:rsidP="00DD3607">
            <w:pPr>
              <w:pStyle w:val="NoSpacing"/>
              <w:jc w:val="center"/>
            </w:pPr>
            <w:r>
              <w:t>N/A</w:t>
            </w:r>
          </w:p>
        </w:tc>
        <w:tc>
          <w:tcPr>
            <w:tcW w:w="1379" w:type="dxa"/>
          </w:tcPr>
          <w:p w:rsidR="007257D4" w:rsidRDefault="00176027" w:rsidP="00DF2C5C">
            <w:pPr>
              <w:pStyle w:val="NoSpacing"/>
              <w:jc w:val="center"/>
            </w:pPr>
            <w:r>
              <w:t>N/A%</w:t>
            </w:r>
          </w:p>
        </w:tc>
      </w:tr>
      <w:tr w:rsidR="007257D4" w:rsidTr="007257D4">
        <w:tc>
          <w:tcPr>
            <w:tcW w:w="2680" w:type="dxa"/>
          </w:tcPr>
          <w:p w:rsidR="007257D4" w:rsidRDefault="007257D4" w:rsidP="00A5420F">
            <w:pPr>
              <w:pStyle w:val="NoSpacing"/>
            </w:pPr>
            <w:r>
              <w:t>Other</w:t>
            </w:r>
          </w:p>
        </w:tc>
        <w:tc>
          <w:tcPr>
            <w:tcW w:w="1379" w:type="dxa"/>
          </w:tcPr>
          <w:p w:rsidR="007257D4" w:rsidRDefault="007257D4" w:rsidP="00DD3607">
            <w:pPr>
              <w:pStyle w:val="NoSpacing"/>
              <w:jc w:val="center"/>
            </w:pPr>
            <w:r>
              <w:t>1.8%</w:t>
            </w:r>
          </w:p>
        </w:tc>
        <w:tc>
          <w:tcPr>
            <w:tcW w:w="1379" w:type="dxa"/>
          </w:tcPr>
          <w:p w:rsidR="007257D4" w:rsidRDefault="007257D4" w:rsidP="00DD3607">
            <w:pPr>
              <w:pStyle w:val="NoSpacing"/>
              <w:jc w:val="center"/>
            </w:pPr>
            <w:r>
              <w:t>2.2%</w:t>
            </w:r>
          </w:p>
        </w:tc>
        <w:tc>
          <w:tcPr>
            <w:tcW w:w="1379" w:type="dxa"/>
          </w:tcPr>
          <w:p w:rsidR="007257D4" w:rsidRPr="000D5521" w:rsidRDefault="007257D4" w:rsidP="00DD3607">
            <w:pPr>
              <w:pStyle w:val="NoSpacing"/>
              <w:jc w:val="center"/>
            </w:pPr>
            <w:r>
              <w:t>3.1%</w:t>
            </w:r>
          </w:p>
        </w:tc>
        <w:tc>
          <w:tcPr>
            <w:tcW w:w="1379" w:type="dxa"/>
          </w:tcPr>
          <w:p w:rsidR="007257D4" w:rsidRDefault="007257D4" w:rsidP="00DD3607">
            <w:pPr>
              <w:pStyle w:val="NoSpacing"/>
              <w:jc w:val="center"/>
            </w:pPr>
            <w:r>
              <w:t>5.6%</w:t>
            </w:r>
          </w:p>
        </w:tc>
        <w:tc>
          <w:tcPr>
            <w:tcW w:w="1379" w:type="dxa"/>
          </w:tcPr>
          <w:p w:rsidR="007257D4" w:rsidRDefault="00B30851" w:rsidP="00DF2C5C">
            <w:pPr>
              <w:pStyle w:val="NoSpacing"/>
              <w:jc w:val="center"/>
            </w:pPr>
            <w:r>
              <w:t>3.5</w:t>
            </w:r>
            <w:r w:rsidR="00176027">
              <w:t>%</w:t>
            </w:r>
          </w:p>
        </w:tc>
      </w:tr>
    </w:tbl>
    <w:p w:rsidR="006C3F26" w:rsidRDefault="006C3F26" w:rsidP="00A5420F">
      <w:pPr>
        <w:pStyle w:val="NoSpacing"/>
      </w:pPr>
    </w:p>
    <w:p w:rsidR="006C3F26" w:rsidRDefault="006C3F26" w:rsidP="00DC195A">
      <w:pPr>
        <w:pStyle w:val="NoSpacing"/>
        <w:jc w:val="center"/>
      </w:pPr>
      <w:r>
        <w:rPr>
          <w:noProof/>
        </w:rPr>
        <w:drawing>
          <wp:inline distT="0" distB="0" distL="0" distR="0" wp14:anchorId="422AB21C" wp14:editId="7AFFBF60">
            <wp:extent cx="5486400" cy="32004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67C3" w:rsidRDefault="00E267C3" w:rsidP="004140BB">
      <w:pPr>
        <w:pStyle w:val="NoSpacing"/>
      </w:pPr>
    </w:p>
    <w:p w:rsidR="002866C8" w:rsidRDefault="002866C8" w:rsidP="002866C8">
      <w:r>
        <w:t xml:space="preserve">The </w:t>
      </w:r>
      <w:r w:rsidR="00325E9C">
        <w:t>race/</w:t>
      </w:r>
      <w:r>
        <w:t xml:space="preserve">ethnic origin of the survey respondents has remained </w:t>
      </w:r>
      <w:r w:rsidR="00E72656">
        <w:t xml:space="preserve">fairly </w:t>
      </w:r>
      <w:r>
        <w:t>consistent since 200</w:t>
      </w:r>
      <w:r w:rsidR="004140BB">
        <w:t>9</w:t>
      </w:r>
      <w:r>
        <w:t xml:space="preserve">. </w:t>
      </w:r>
      <w:r w:rsidR="00E72656">
        <w:t xml:space="preserve">On average, about three-quarters </w:t>
      </w:r>
      <w:r>
        <w:t xml:space="preserve">of the respondents each year are white, about </w:t>
      </w:r>
      <w:r w:rsidR="004140BB">
        <w:t>one-eighth to one-sixth</w:t>
      </w:r>
      <w:r>
        <w:t xml:space="preserve"> are African American and about </w:t>
      </w:r>
      <w:r w:rsidR="004140BB">
        <w:t>eight</w:t>
      </w:r>
      <w:r>
        <w:t xml:space="preserve"> percent are Hispanic.</w:t>
      </w:r>
      <w:r w:rsidR="00E72656">
        <w:t xml:space="preserve">  In 201</w:t>
      </w:r>
      <w:r w:rsidR="004140BB">
        <w:t>3</w:t>
      </w:r>
      <w:r w:rsidR="00E72656">
        <w:t>, three-</w:t>
      </w:r>
      <w:r w:rsidR="004140BB">
        <w:t>quarters</w:t>
      </w:r>
      <w:r w:rsidR="00E72656">
        <w:t xml:space="preserve"> (</w:t>
      </w:r>
      <w:r w:rsidR="004140BB">
        <w:t>74.6</w:t>
      </w:r>
      <w:r w:rsidR="00E72656">
        <w:t>%) of the patients who responded are white, about one-</w:t>
      </w:r>
      <w:r w:rsidR="004140BB">
        <w:t>sixth</w:t>
      </w:r>
      <w:r w:rsidR="00E72656">
        <w:t xml:space="preserve"> (1</w:t>
      </w:r>
      <w:r w:rsidR="00B30851">
        <w:t>6.3</w:t>
      </w:r>
      <w:r w:rsidR="00E72656">
        <w:t xml:space="preserve">%) are African American/black, and </w:t>
      </w:r>
      <w:r w:rsidR="004140BB">
        <w:t>about four</w:t>
      </w:r>
      <w:r w:rsidR="00E72656">
        <w:t xml:space="preserve"> percent are Asian.  In addition, </w:t>
      </w:r>
      <w:r w:rsidR="004E6162">
        <w:t xml:space="preserve">about </w:t>
      </w:r>
      <w:r w:rsidR="004140BB">
        <w:t>nine</w:t>
      </w:r>
      <w:r w:rsidR="004E6162">
        <w:t xml:space="preserve"> percent</w:t>
      </w:r>
      <w:r w:rsidR="00E72656">
        <w:t xml:space="preserve"> of the respondents indicate that they are Hispanic, Latino, or Spanish.</w:t>
      </w:r>
    </w:p>
    <w:p w:rsidR="000D5521" w:rsidRPr="002866C8" w:rsidRDefault="000D5521" w:rsidP="002866C8">
      <w:pPr>
        <w:pStyle w:val="NoSpacing"/>
      </w:pPr>
    </w:p>
    <w:p w:rsidR="000D5521" w:rsidRPr="00E72656" w:rsidRDefault="000D5521" w:rsidP="000D5521">
      <w:pPr>
        <w:rPr>
          <w:sz w:val="20"/>
          <w:szCs w:val="20"/>
        </w:rPr>
      </w:pPr>
      <w:r w:rsidRPr="00E72656">
        <w:rPr>
          <w:sz w:val="20"/>
          <w:szCs w:val="20"/>
        </w:rPr>
        <w:t>*Notes:</w:t>
      </w:r>
    </w:p>
    <w:p w:rsidR="000D5521" w:rsidRPr="00E72656" w:rsidRDefault="000D5521" w:rsidP="000D5521">
      <w:pPr>
        <w:pStyle w:val="ListParagraph"/>
        <w:numPr>
          <w:ilvl w:val="0"/>
          <w:numId w:val="1"/>
        </w:numPr>
        <w:rPr>
          <w:sz w:val="20"/>
          <w:szCs w:val="20"/>
        </w:rPr>
      </w:pPr>
      <w:r w:rsidRPr="00E72656">
        <w:rPr>
          <w:sz w:val="20"/>
          <w:szCs w:val="20"/>
        </w:rPr>
        <w:t>From 2007 through 2010, patients were asked: “</w:t>
      </w:r>
      <w:r w:rsidRPr="00E72656">
        <w:rPr>
          <w:i/>
          <w:sz w:val="20"/>
          <w:szCs w:val="20"/>
        </w:rPr>
        <w:t>What is your ethnic origin?</w:t>
      </w:r>
      <w:r w:rsidRPr="00E72656">
        <w:rPr>
          <w:sz w:val="20"/>
          <w:szCs w:val="20"/>
        </w:rPr>
        <w:t>”</w:t>
      </w:r>
    </w:p>
    <w:p w:rsidR="000D5521" w:rsidRPr="00E72656" w:rsidRDefault="004E6162" w:rsidP="000D5521">
      <w:pPr>
        <w:pStyle w:val="NoSpacing"/>
        <w:numPr>
          <w:ilvl w:val="0"/>
          <w:numId w:val="1"/>
        </w:numPr>
        <w:rPr>
          <w:sz w:val="20"/>
          <w:szCs w:val="20"/>
        </w:rPr>
      </w:pPr>
      <w:r>
        <w:rPr>
          <w:sz w:val="20"/>
          <w:szCs w:val="20"/>
        </w:rPr>
        <w:t>Since</w:t>
      </w:r>
      <w:r w:rsidR="000D5521" w:rsidRPr="00E72656">
        <w:rPr>
          <w:sz w:val="20"/>
          <w:szCs w:val="20"/>
        </w:rPr>
        <w:t xml:space="preserve"> the 2011 survey, as in the Census, respondents could choose as many racial categories as apply.</w:t>
      </w:r>
    </w:p>
    <w:p w:rsidR="000D5521" w:rsidRPr="00E72656" w:rsidRDefault="004E6162" w:rsidP="000D5521">
      <w:pPr>
        <w:pStyle w:val="NoSpacing"/>
        <w:numPr>
          <w:ilvl w:val="0"/>
          <w:numId w:val="1"/>
        </w:numPr>
        <w:rPr>
          <w:sz w:val="20"/>
          <w:szCs w:val="20"/>
        </w:rPr>
      </w:pPr>
      <w:r>
        <w:rPr>
          <w:sz w:val="20"/>
          <w:szCs w:val="20"/>
        </w:rPr>
        <w:t>Since</w:t>
      </w:r>
      <w:r w:rsidR="000D5521" w:rsidRPr="00E72656">
        <w:rPr>
          <w:sz w:val="20"/>
          <w:szCs w:val="20"/>
        </w:rPr>
        <w:t xml:space="preserve"> the 2011 survey, as in the Census,  the categories presented were: White, Asian, Black/African American, Native American/Pacific Islander, American Indian/Native Alaskan, Other.</w:t>
      </w:r>
    </w:p>
    <w:p w:rsidR="000561DA" w:rsidRDefault="00E267C3" w:rsidP="00E267C3">
      <w:pPr>
        <w:pStyle w:val="Heading2"/>
      </w:pPr>
      <w:bookmarkStart w:id="10" w:name="_Toc383680490"/>
      <w:r>
        <w:lastRenderedPageBreak/>
        <w:t>Household Size</w:t>
      </w:r>
      <w:bookmarkEnd w:id="10"/>
    </w:p>
    <w:p w:rsidR="00E267C3" w:rsidRDefault="00E267C3" w:rsidP="00E267C3">
      <w:pPr>
        <w:pStyle w:val="NoSpacing"/>
        <w:jc w:val="center"/>
      </w:pPr>
    </w:p>
    <w:p w:rsidR="00E267C3" w:rsidRDefault="00E267C3" w:rsidP="00E267C3">
      <w:pPr>
        <w:pStyle w:val="NoSpacing"/>
        <w:jc w:val="center"/>
      </w:pPr>
      <w:r>
        <w:t>Patients were asked: “</w:t>
      </w:r>
      <w:r w:rsidRPr="00E267C3">
        <w:rPr>
          <w:i/>
        </w:rPr>
        <w:t>How many people, including you, live in your household?</w:t>
      </w:r>
      <w:r>
        <w:t>”</w:t>
      </w:r>
    </w:p>
    <w:p w:rsidR="00E267C3" w:rsidRDefault="00E267C3" w:rsidP="00DC195A">
      <w:pPr>
        <w:pStyle w:val="NoSpacing"/>
      </w:pPr>
    </w:p>
    <w:p w:rsidR="00E267C3" w:rsidRDefault="00E267C3" w:rsidP="002866C8">
      <w:pPr>
        <w:pStyle w:val="NoSpacing"/>
        <w:jc w:val="center"/>
      </w:pPr>
      <w:r>
        <w:rPr>
          <w:noProof/>
        </w:rPr>
        <w:drawing>
          <wp:inline distT="0" distB="0" distL="0" distR="0" wp14:anchorId="405DB299" wp14:editId="659960A3">
            <wp:extent cx="5486400" cy="32004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67C3" w:rsidRDefault="00E267C3" w:rsidP="00E267C3">
      <w:pPr>
        <w:pStyle w:val="NoSpacing"/>
      </w:pPr>
    </w:p>
    <w:p w:rsidR="00F25282" w:rsidRDefault="00F25282" w:rsidP="0003092B">
      <w:r>
        <w:t>In 201</w:t>
      </w:r>
      <w:r w:rsidR="00FE35F7">
        <w:t>3</w:t>
      </w:r>
      <w:r>
        <w:t xml:space="preserve">, </w:t>
      </w:r>
      <w:r w:rsidR="00FE35F7">
        <w:t>nearly</w:t>
      </w:r>
      <w:r>
        <w:t xml:space="preserve"> f</w:t>
      </w:r>
      <w:r w:rsidR="0003092B">
        <w:t>our-fifths (</w:t>
      </w:r>
      <w:r w:rsidR="001409ED">
        <w:t>38.6</w:t>
      </w:r>
      <w:r w:rsidR="0003092B">
        <w:t xml:space="preserve">%) of the patients who completed the survey live in households with two individuals.  </w:t>
      </w:r>
      <w:r>
        <w:t>About o</w:t>
      </w:r>
      <w:r w:rsidR="0003092B">
        <w:t>ne-sixth (1</w:t>
      </w:r>
      <w:r w:rsidR="001409ED">
        <w:t>7.3</w:t>
      </w:r>
      <w:r w:rsidR="0003092B">
        <w:t>%) of the respondents have only one individual in the household</w:t>
      </w:r>
      <w:r>
        <w:t>.  Approximately one-</w:t>
      </w:r>
      <w:r w:rsidR="00DC3799">
        <w:t>sixth</w:t>
      </w:r>
      <w:r>
        <w:t xml:space="preserve"> of the 201</w:t>
      </w:r>
      <w:r w:rsidR="00FE35F7">
        <w:t>3</w:t>
      </w:r>
      <w:r>
        <w:t xml:space="preserve"> respondents </w:t>
      </w:r>
      <w:r w:rsidR="00DC3799">
        <w:t xml:space="preserve">have three-person households </w:t>
      </w:r>
      <w:r>
        <w:t>(1</w:t>
      </w:r>
      <w:r w:rsidR="001409ED">
        <w:t>7.0</w:t>
      </w:r>
      <w:r>
        <w:t>%</w:t>
      </w:r>
      <w:r w:rsidR="00DC3799">
        <w:t xml:space="preserve">), and about one-eighth has </w:t>
      </w:r>
      <w:r>
        <w:t>four</w:t>
      </w:r>
      <w:r w:rsidR="00DC3799">
        <w:t xml:space="preserve">-person </w:t>
      </w:r>
      <w:r>
        <w:t>(1</w:t>
      </w:r>
      <w:r w:rsidR="001409ED">
        <w:t>3.6</w:t>
      </w:r>
      <w:r>
        <w:t>%) or five</w:t>
      </w:r>
      <w:r w:rsidR="00DC3799">
        <w:t>-</w:t>
      </w:r>
      <w:r>
        <w:t>or</w:t>
      </w:r>
      <w:r w:rsidR="00DC3799">
        <w:t>-</w:t>
      </w:r>
      <w:r>
        <w:t>more</w:t>
      </w:r>
      <w:r w:rsidR="00DC3799">
        <w:t>-person</w:t>
      </w:r>
      <w:r>
        <w:t xml:space="preserve"> (1</w:t>
      </w:r>
      <w:r w:rsidR="001409ED">
        <w:t>3.5</w:t>
      </w:r>
      <w:r>
        <w:t xml:space="preserve">%) </w:t>
      </w:r>
      <w:r w:rsidR="0003092B">
        <w:t>household</w:t>
      </w:r>
      <w:r w:rsidR="00DC3799">
        <w:t>s</w:t>
      </w:r>
      <w:r w:rsidR="0003092B">
        <w:t xml:space="preserve">.  </w:t>
      </w:r>
    </w:p>
    <w:p w:rsidR="00F25282" w:rsidRDefault="00F25282" w:rsidP="0003092B"/>
    <w:p w:rsidR="00E267C3" w:rsidRDefault="00E267C3" w:rsidP="0003092B">
      <w:r>
        <w:t xml:space="preserve">The average household size for the responding sample </w:t>
      </w:r>
      <w:r w:rsidR="00F25282">
        <w:t>in 201</w:t>
      </w:r>
      <w:r w:rsidR="00FE35F7">
        <w:t>3</w:t>
      </w:r>
      <w:r w:rsidR="00F25282">
        <w:t xml:space="preserve"> </w:t>
      </w:r>
      <w:r>
        <w:t xml:space="preserve">is </w:t>
      </w:r>
      <w:r w:rsidR="0035359A">
        <w:t>three</w:t>
      </w:r>
      <w:r>
        <w:t xml:space="preserve"> people (mean=</w:t>
      </w:r>
      <w:r w:rsidR="0035359A">
        <w:t>2.</w:t>
      </w:r>
      <w:r w:rsidR="00FE35F7">
        <w:t>8</w:t>
      </w:r>
      <w:r>
        <w:t>).</w:t>
      </w:r>
    </w:p>
    <w:p w:rsidR="00E267C3" w:rsidRDefault="00E267C3" w:rsidP="00E267C3">
      <w:pPr>
        <w:pStyle w:val="NoSpacing"/>
      </w:pPr>
    </w:p>
    <w:p w:rsidR="002D1A68" w:rsidRDefault="002D1A68" w:rsidP="002D1A68">
      <w:pPr>
        <w:rPr>
          <w:sz w:val="20"/>
          <w:szCs w:val="20"/>
        </w:rPr>
      </w:pPr>
    </w:p>
    <w:p w:rsidR="002D1A68" w:rsidRDefault="002D1A68" w:rsidP="002D1A68">
      <w:pPr>
        <w:rPr>
          <w:sz w:val="20"/>
          <w:szCs w:val="20"/>
        </w:rPr>
      </w:pPr>
    </w:p>
    <w:p w:rsidR="002D1A68" w:rsidRDefault="002D1A68" w:rsidP="002D1A68">
      <w:pPr>
        <w:rPr>
          <w:sz w:val="20"/>
          <w:szCs w:val="20"/>
        </w:rPr>
      </w:pPr>
    </w:p>
    <w:p w:rsidR="002D1A68" w:rsidRDefault="002D1A68" w:rsidP="002D1A68">
      <w:pPr>
        <w:rPr>
          <w:sz w:val="20"/>
          <w:szCs w:val="20"/>
        </w:rPr>
      </w:pPr>
    </w:p>
    <w:p w:rsidR="002D1A68" w:rsidRDefault="002D1A68" w:rsidP="002D1A68">
      <w:pPr>
        <w:rPr>
          <w:sz w:val="20"/>
          <w:szCs w:val="20"/>
        </w:rPr>
      </w:pPr>
    </w:p>
    <w:p w:rsidR="002D1A68" w:rsidRDefault="002D1A68" w:rsidP="002D1A68">
      <w:pPr>
        <w:rPr>
          <w:sz w:val="20"/>
          <w:szCs w:val="20"/>
        </w:rPr>
      </w:pPr>
    </w:p>
    <w:p w:rsidR="002D1A68" w:rsidRDefault="002D1A68" w:rsidP="002D1A68">
      <w:pPr>
        <w:rPr>
          <w:sz w:val="20"/>
          <w:szCs w:val="20"/>
        </w:rPr>
      </w:pPr>
    </w:p>
    <w:p w:rsidR="002D1A68" w:rsidRDefault="002D1A68" w:rsidP="002D1A68">
      <w:pPr>
        <w:rPr>
          <w:sz w:val="20"/>
          <w:szCs w:val="20"/>
        </w:rPr>
      </w:pPr>
    </w:p>
    <w:p w:rsidR="002D1A68" w:rsidRDefault="002D1A68" w:rsidP="002D1A68">
      <w:pPr>
        <w:rPr>
          <w:sz w:val="20"/>
          <w:szCs w:val="20"/>
        </w:rPr>
      </w:pPr>
    </w:p>
    <w:p w:rsidR="002D1A68" w:rsidRDefault="002D1A68" w:rsidP="002D1A68">
      <w:pPr>
        <w:rPr>
          <w:sz w:val="20"/>
          <w:szCs w:val="20"/>
        </w:rPr>
      </w:pPr>
    </w:p>
    <w:p w:rsidR="002D1A68" w:rsidRDefault="002D1A68" w:rsidP="002D1A68">
      <w:pPr>
        <w:rPr>
          <w:sz w:val="20"/>
          <w:szCs w:val="20"/>
        </w:rPr>
      </w:pPr>
    </w:p>
    <w:p w:rsidR="002D1A68" w:rsidRDefault="002D1A68" w:rsidP="002D1A68">
      <w:pPr>
        <w:rPr>
          <w:sz w:val="20"/>
          <w:szCs w:val="20"/>
        </w:rPr>
      </w:pPr>
    </w:p>
    <w:p w:rsidR="002D1A68" w:rsidRDefault="002D1A68" w:rsidP="002D1A68">
      <w:pPr>
        <w:rPr>
          <w:sz w:val="20"/>
          <w:szCs w:val="20"/>
        </w:rPr>
      </w:pPr>
    </w:p>
    <w:p w:rsidR="002D1A68" w:rsidRDefault="002D1A68" w:rsidP="002D1A68">
      <w:pPr>
        <w:rPr>
          <w:sz w:val="20"/>
          <w:szCs w:val="20"/>
        </w:rPr>
      </w:pPr>
    </w:p>
    <w:p w:rsidR="002D1A68" w:rsidRDefault="002D1A68" w:rsidP="002D1A68">
      <w:pPr>
        <w:rPr>
          <w:sz w:val="20"/>
          <w:szCs w:val="20"/>
        </w:rPr>
      </w:pPr>
    </w:p>
    <w:p w:rsidR="00E267C3" w:rsidRDefault="00E267C3">
      <w:pPr>
        <w:spacing w:after="200" w:line="276" w:lineRule="auto"/>
        <w:rPr>
          <w:rFonts w:asciiTheme="majorHAnsi" w:eastAsiaTheme="majorEastAsia" w:hAnsiTheme="majorHAnsi" w:cstheme="majorBidi"/>
          <w:b/>
          <w:bCs/>
          <w:color w:val="4F81BD" w:themeColor="accent1"/>
          <w:sz w:val="26"/>
          <w:szCs w:val="26"/>
        </w:rPr>
      </w:pPr>
      <w:r>
        <w:br w:type="page"/>
      </w:r>
    </w:p>
    <w:p w:rsidR="002D1A68" w:rsidRDefault="002D1A68" w:rsidP="002D1A68">
      <w:pPr>
        <w:pStyle w:val="Heading2"/>
      </w:pPr>
      <w:bookmarkStart w:id="11" w:name="_Toc383680491"/>
      <w:r>
        <w:lastRenderedPageBreak/>
        <w:t>Patients in Household</w:t>
      </w:r>
      <w:bookmarkEnd w:id="11"/>
    </w:p>
    <w:p w:rsidR="002D1A68" w:rsidRDefault="002D1A68" w:rsidP="002D1A68">
      <w:pPr>
        <w:pStyle w:val="NoSpacing"/>
        <w:jc w:val="center"/>
      </w:pPr>
    </w:p>
    <w:p w:rsidR="002D1A68" w:rsidRDefault="002D1A68" w:rsidP="002D1A68">
      <w:pPr>
        <w:pStyle w:val="NoSpacing"/>
        <w:jc w:val="center"/>
      </w:pPr>
      <w:r>
        <w:t>Patients were asked: “</w:t>
      </w:r>
      <w:r w:rsidRPr="00E267C3">
        <w:rPr>
          <w:i/>
        </w:rPr>
        <w:t>How many in your household</w:t>
      </w:r>
      <w:r>
        <w:rPr>
          <w:i/>
        </w:rPr>
        <w:t xml:space="preserve"> come to UF for dental care</w:t>
      </w:r>
      <w:r w:rsidRPr="00E267C3">
        <w:rPr>
          <w:i/>
        </w:rPr>
        <w:t>?</w:t>
      </w:r>
      <w:r>
        <w:t>”</w:t>
      </w:r>
    </w:p>
    <w:p w:rsidR="002D1A68" w:rsidRDefault="002D1A68" w:rsidP="002D1A68">
      <w:pPr>
        <w:pStyle w:val="NoSpacing"/>
      </w:pPr>
    </w:p>
    <w:p w:rsidR="002D1A68" w:rsidRDefault="002D1A68" w:rsidP="002D1A68">
      <w:pPr>
        <w:pStyle w:val="NoSpacing"/>
        <w:jc w:val="center"/>
      </w:pPr>
      <w:r>
        <w:rPr>
          <w:noProof/>
        </w:rPr>
        <w:drawing>
          <wp:inline distT="0" distB="0" distL="0" distR="0" wp14:anchorId="481D2AE0" wp14:editId="2202AF2A">
            <wp:extent cx="5486400" cy="3200400"/>
            <wp:effectExtent l="0" t="0" r="19050" b="19050"/>
            <wp:docPr id="3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D1A68" w:rsidRDefault="002D1A68" w:rsidP="002D1A68">
      <w:pPr>
        <w:pStyle w:val="NoSpacing"/>
      </w:pPr>
    </w:p>
    <w:p w:rsidR="002D1A68" w:rsidRDefault="002D1A68" w:rsidP="002D1A68">
      <w:r>
        <w:t>In 201</w:t>
      </w:r>
      <w:r w:rsidR="00741491">
        <w:t>3</w:t>
      </w:r>
      <w:r>
        <w:t>, nearly two-thirds (6</w:t>
      </w:r>
      <w:r w:rsidR="00741491">
        <w:t>6</w:t>
      </w:r>
      <w:r w:rsidR="00CB0F6C">
        <w:t>.3</w:t>
      </w:r>
      <w:r>
        <w:t>%) of the patients who completed the survey indicated that one person in their household comes to UF for dental care.  More than one-quarter (2</w:t>
      </w:r>
      <w:r w:rsidR="00741491">
        <w:t>6.</w:t>
      </w:r>
      <w:r w:rsidR="00CB0F6C">
        <w:t>0</w:t>
      </w:r>
      <w:r>
        <w:t xml:space="preserve">%) of the respondents have two UF dental patients in their households.  About </w:t>
      </w:r>
      <w:r w:rsidR="00741491">
        <w:t>five</w:t>
      </w:r>
      <w:r>
        <w:t xml:space="preserve"> percent of respondents have three patients</w:t>
      </w:r>
      <w:r w:rsidR="00741491">
        <w:t>,</w:t>
      </w:r>
      <w:r>
        <w:t xml:space="preserve"> </w:t>
      </w:r>
      <w:r w:rsidR="00741491">
        <w:t>and about one percent has either four or five or more patients</w:t>
      </w:r>
      <w:r>
        <w:t xml:space="preserve"> in their households.</w:t>
      </w:r>
    </w:p>
    <w:p w:rsidR="002D1A68" w:rsidRDefault="002D1A68" w:rsidP="002D1A68"/>
    <w:p w:rsidR="002D1A68" w:rsidRDefault="002D1A68" w:rsidP="002D1A68">
      <w:r>
        <w:t>The average number of UF dental patients per household for the responding sample in 201</w:t>
      </w:r>
      <w:r w:rsidR="00741491">
        <w:t>3</w:t>
      </w:r>
      <w:r>
        <w:t xml:space="preserve"> is between one and two people (mean=1.47).</w:t>
      </w:r>
    </w:p>
    <w:p w:rsidR="002D1A68" w:rsidRDefault="002D1A68">
      <w:pPr>
        <w:spacing w:after="200" w:line="276" w:lineRule="auto"/>
      </w:pPr>
    </w:p>
    <w:p w:rsidR="002D1A68" w:rsidRDefault="002D1A68" w:rsidP="002D1A68">
      <w:pPr>
        <w:pStyle w:val="NoSpacing"/>
      </w:pPr>
    </w:p>
    <w:p w:rsidR="002D1A68" w:rsidRDefault="002D1A68" w:rsidP="002D1A68">
      <w:pPr>
        <w:pStyle w:val="NoSpacing"/>
      </w:pPr>
    </w:p>
    <w:p w:rsidR="002D1A68" w:rsidRDefault="002D1A68" w:rsidP="002D1A68">
      <w:pPr>
        <w:pStyle w:val="NoSpacing"/>
      </w:pPr>
    </w:p>
    <w:p w:rsidR="002D1A68" w:rsidRDefault="002D1A68" w:rsidP="002D1A68">
      <w:pPr>
        <w:pStyle w:val="NoSpacing"/>
      </w:pPr>
    </w:p>
    <w:p w:rsidR="002D1A68" w:rsidRDefault="002D1A68" w:rsidP="002D1A68">
      <w:pPr>
        <w:pStyle w:val="NoSpacing"/>
      </w:pPr>
    </w:p>
    <w:p w:rsidR="002D1A68" w:rsidRDefault="002D1A68" w:rsidP="002D1A68">
      <w:pPr>
        <w:pStyle w:val="NoSpacing"/>
      </w:pPr>
    </w:p>
    <w:p w:rsidR="002D1A68" w:rsidRDefault="002D1A68" w:rsidP="002D1A68">
      <w:pPr>
        <w:pStyle w:val="NoSpacing"/>
      </w:pPr>
    </w:p>
    <w:p w:rsidR="002D1A68" w:rsidRDefault="002D1A68" w:rsidP="002D1A68">
      <w:pPr>
        <w:pStyle w:val="NoSpacing"/>
      </w:pPr>
    </w:p>
    <w:p w:rsidR="002D1A68" w:rsidRDefault="002D1A68" w:rsidP="002D1A68">
      <w:pPr>
        <w:pStyle w:val="NoSpacing"/>
      </w:pPr>
    </w:p>
    <w:p w:rsidR="002D1A68" w:rsidRDefault="002D1A68" w:rsidP="002D1A68">
      <w:pPr>
        <w:pStyle w:val="NoSpacing"/>
      </w:pPr>
    </w:p>
    <w:p w:rsidR="002D1A68" w:rsidRPr="002D1A68" w:rsidRDefault="002D1A68" w:rsidP="002D1A68">
      <w:pPr>
        <w:pStyle w:val="NoSpacing"/>
      </w:pPr>
    </w:p>
    <w:p w:rsidR="002D1A68" w:rsidRPr="00E72656" w:rsidRDefault="002D1A68" w:rsidP="002D1A68">
      <w:pPr>
        <w:rPr>
          <w:sz w:val="20"/>
          <w:szCs w:val="20"/>
        </w:rPr>
      </w:pPr>
      <w:r w:rsidRPr="00E72656">
        <w:rPr>
          <w:sz w:val="20"/>
          <w:szCs w:val="20"/>
        </w:rPr>
        <w:t>*Notes:</w:t>
      </w:r>
    </w:p>
    <w:p w:rsidR="002D1A68" w:rsidRPr="00E72656" w:rsidRDefault="002D1A68" w:rsidP="002D1A68">
      <w:pPr>
        <w:pStyle w:val="ListParagraph"/>
        <w:numPr>
          <w:ilvl w:val="0"/>
          <w:numId w:val="1"/>
        </w:numPr>
        <w:rPr>
          <w:sz w:val="20"/>
          <w:szCs w:val="20"/>
        </w:rPr>
      </w:pPr>
      <w:r>
        <w:rPr>
          <w:sz w:val="20"/>
          <w:szCs w:val="20"/>
        </w:rPr>
        <w:t>This question was added in 2012.</w:t>
      </w:r>
    </w:p>
    <w:p w:rsidR="002D1A68" w:rsidRDefault="002D1A68">
      <w:pPr>
        <w:spacing w:after="200" w:line="276" w:lineRule="auto"/>
        <w:rPr>
          <w:rFonts w:asciiTheme="majorHAnsi" w:eastAsiaTheme="majorEastAsia" w:hAnsiTheme="majorHAnsi" w:cstheme="majorBidi"/>
          <w:b/>
          <w:bCs/>
          <w:color w:val="4F81BD" w:themeColor="accent1"/>
          <w:sz w:val="26"/>
          <w:szCs w:val="26"/>
        </w:rPr>
      </w:pPr>
      <w:r>
        <w:br w:type="page"/>
      </w:r>
    </w:p>
    <w:p w:rsidR="00DC195A" w:rsidRDefault="00DC195A" w:rsidP="00DC195A">
      <w:pPr>
        <w:pStyle w:val="Heading2"/>
      </w:pPr>
      <w:bookmarkStart w:id="12" w:name="_Toc383680492"/>
      <w:r>
        <w:lastRenderedPageBreak/>
        <w:t>Income</w:t>
      </w:r>
      <w:bookmarkEnd w:id="12"/>
    </w:p>
    <w:p w:rsidR="00E267C3" w:rsidRPr="00E267C3" w:rsidRDefault="00E267C3" w:rsidP="00E267C3"/>
    <w:p w:rsidR="00E267C3" w:rsidRPr="00E267C3" w:rsidRDefault="00E267C3" w:rsidP="00E267C3">
      <w:pPr>
        <w:jc w:val="center"/>
      </w:pPr>
      <w:r>
        <w:t>Patients were asked: “</w:t>
      </w:r>
      <w:r w:rsidRPr="00E267C3">
        <w:rPr>
          <w:i/>
        </w:rPr>
        <w:t>Please indicate you</w:t>
      </w:r>
      <w:r w:rsidR="00AF1D59">
        <w:rPr>
          <w:i/>
        </w:rPr>
        <w:t>r</w:t>
      </w:r>
      <w:r w:rsidRPr="00E267C3">
        <w:rPr>
          <w:i/>
        </w:rPr>
        <w:t xml:space="preserve"> total annual household income from any source.</w:t>
      </w:r>
      <w:r>
        <w:t>”</w:t>
      </w:r>
    </w:p>
    <w:p w:rsidR="00DC195A" w:rsidRDefault="00DC195A" w:rsidP="00DC195A">
      <w:pPr>
        <w:pStyle w:val="NoSpacing"/>
      </w:pPr>
    </w:p>
    <w:p w:rsidR="00DC195A" w:rsidRDefault="00DC195A" w:rsidP="00DC195A">
      <w:pPr>
        <w:pStyle w:val="NoSpacing"/>
        <w:jc w:val="center"/>
      </w:pPr>
      <w:r w:rsidRPr="00DC195A">
        <w:rPr>
          <w:noProof/>
        </w:rPr>
        <w:drawing>
          <wp:inline distT="0" distB="0" distL="0" distR="0" wp14:anchorId="5C06A54A" wp14:editId="05FFE938">
            <wp:extent cx="5486400" cy="32004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86B2E" w:rsidRDefault="00886B2E">
      <w:pPr>
        <w:spacing w:after="200" w:line="276" w:lineRule="auto"/>
      </w:pPr>
    </w:p>
    <w:p w:rsidR="00566A94" w:rsidRDefault="00566A94" w:rsidP="0003092B">
      <w:r>
        <w:t>In 201</w:t>
      </w:r>
      <w:r w:rsidR="006E297A">
        <w:t>3</w:t>
      </w:r>
      <w:r>
        <w:t xml:space="preserve">, about </w:t>
      </w:r>
      <w:r w:rsidR="00523A60">
        <w:t>one-</w:t>
      </w:r>
      <w:r w:rsidR="006E297A">
        <w:t>sixth</w:t>
      </w:r>
      <w:r w:rsidR="00523A60">
        <w:t xml:space="preserve"> (1</w:t>
      </w:r>
      <w:r w:rsidR="009E1DF5">
        <w:t>5.7</w:t>
      </w:r>
      <w:r w:rsidR="00523A60">
        <w:t>%)</w:t>
      </w:r>
      <w:r>
        <w:t xml:space="preserve"> of the patients who responded have annual incomes less than $10,000</w:t>
      </w:r>
      <w:r w:rsidR="00523A60">
        <w:t>, and about one-</w:t>
      </w:r>
      <w:r w:rsidR="006E297A">
        <w:t>sixth</w:t>
      </w:r>
      <w:r w:rsidR="00523A60">
        <w:t xml:space="preserve"> (1</w:t>
      </w:r>
      <w:r w:rsidR="006E297A">
        <w:t>5.2</w:t>
      </w:r>
      <w:r w:rsidR="00523A60">
        <w:t xml:space="preserve">%) have incomes from </w:t>
      </w:r>
      <w:r>
        <w:t>$10,000 up to $15,000.  About one-</w:t>
      </w:r>
      <w:r w:rsidR="006E297A">
        <w:t>quarter (25.3%)</w:t>
      </w:r>
      <w:r>
        <w:t xml:space="preserve"> of the patients who completed the survey have a total annual household income of $15,000 up to $30,000</w:t>
      </w:r>
      <w:r w:rsidR="006E297A">
        <w:t xml:space="preserve">, and about one-fifth (19.3%) have incomes </w:t>
      </w:r>
      <w:r>
        <w:t>of $30,000 up to $50,000.  About one-eighth (1</w:t>
      </w:r>
      <w:r w:rsidR="009E1DF5">
        <w:t>2.6</w:t>
      </w:r>
      <w:r>
        <w:t>%) of the 201</w:t>
      </w:r>
      <w:r w:rsidR="006E297A">
        <w:t>3</w:t>
      </w:r>
      <w:r>
        <w:t xml:space="preserve"> respondents report household incomes from $50,000 up to $70,000, and </w:t>
      </w:r>
      <w:r w:rsidR="00523A60">
        <w:t xml:space="preserve">just over </w:t>
      </w:r>
      <w:r>
        <w:t>one-tenth (1</w:t>
      </w:r>
      <w:r w:rsidR="009E1DF5">
        <w:t>2.0</w:t>
      </w:r>
      <w:r>
        <w:t>%) report incomes of more than $70,000.</w:t>
      </w:r>
    </w:p>
    <w:p w:rsidR="00566A94" w:rsidRPr="00566A94" w:rsidRDefault="00566A94" w:rsidP="00566A94">
      <w:pPr>
        <w:pStyle w:val="NoSpacing"/>
      </w:pPr>
    </w:p>
    <w:p w:rsidR="0003092B" w:rsidRDefault="0003092B" w:rsidP="0003092B">
      <w:r>
        <w:t>From 200</w:t>
      </w:r>
      <w:r w:rsidR="006E297A">
        <w:t>9</w:t>
      </w:r>
      <w:r>
        <w:t xml:space="preserve"> to 201</w:t>
      </w:r>
      <w:r w:rsidR="006E297A">
        <w:t>2</w:t>
      </w:r>
      <w:r>
        <w:t>, about one-quarter of the patients who completed the survey had a total annual household income between $16,000 and $30,000. A slightly smaller percentage had a household income between $3</w:t>
      </w:r>
      <w:r w:rsidR="006E297A">
        <w:t>0</w:t>
      </w:r>
      <w:r>
        <w:t xml:space="preserve">,000 and $50,000. </w:t>
      </w:r>
    </w:p>
    <w:p w:rsidR="00E267C3" w:rsidRDefault="00E267C3" w:rsidP="00E267C3">
      <w:pPr>
        <w:pStyle w:val="NoSpacing"/>
      </w:pPr>
    </w:p>
    <w:p w:rsidR="00566A94" w:rsidRDefault="00566A94" w:rsidP="00E267C3">
      <w:pPr>
        <w:pStyle w:val="NoSpacing"/>
      </w:pPr>
    </w:p>
    <w:p w:rsidR="00566A94" w:rsidRDefault="00566A94" w:rsidP="00E267C3">
      <w:pPr>
        <w:pStyle w:val="NoSpacing"/>
      </w:pPr>
    </w:p>
    <w:p w:rsidR="00566A94" w:rsidRDefault="00566A94" w:rsidP="00E267C3">
      <w:pPr>
        <w:pStyle w:val="NoSpacing"/>
      </w:pPr>
    </w:p>
    <w:p w:rsidR="00566A94" w:rsidRDefault="00566A94" w:rsidP="00E267C3">
      <w:pPr>
        <w:pStyle w:val="NoSpacing"/>
      </w:pPr>
    </w:p>
    <w:p w:rsidR="00566A94" w:rsidRDefault="00566A94" w:rsidP="00E267C3">
      <w:pPr>
        <w:pStyle w:val="NoSpacing"/>
      </w:pPr>
    </w:p>
    <w:p w:rsidR="00566A94" w:rsidRDefault="00566A94" w:rsidP="00E267C3">
      <w:pPr>
        <w:pStyle w:val="NoSpacing"/>
      </w:pPr>
    </w:p>
    <w:p w:rsidR="00566A94" w:rsidRPr="00E267C3" w:rsidRDefault="00566A94" w:rsidP="00E267C3">
      <w:pPr>
        <w:pStyle w:val="NoSpacing"/>
      </w:pPr>
    </w:p>
    <w:p w:rsidR="00566A94" w:rsidRDefault="00566A94" w:rsidP="00566A94">
      <w:pPr>
        <w:rPr>
          <w:sz w:val="20"/>
          <w:szCs w:val="20"/>
        </w:rPr>
      </w:pPr>
      <w:r>
        <w:rPr>
          <w:sz w:val="20"/>
          <w:szCs w:val="20"/>
        </w:rPr>
        <w:t>*Notes:</w:t>
      </w:r>
    </w:p>
    <w:p w:rsidR="00566A94" w:rsidRDefault="00566A94" w:rsidP="00566A94">
      <w:pPr>
        <w:pStyle w:val="ListParagraph"/>
        <w:numPr>
          <w:ilvl w:val="0"/>
          <w:numId w:val="2"/>
        </w:numPr>
        <w:rPr>
          <w:sz w:val="20"/>
          <w:szCs w:val="20"/>
        </w:rPr>
      </w:pPr>
      <w:r>
        <w:rPr>
          <w:sz w:val="20"/>
          <w:szCs w:val="20"/>
        </w:rPr>
        <w:t>From 2007 through 2010, the response categories were: Less than $9,000; $10,000 to $15,000; $16,000 to $30,000; $31,000 to $50,000; $51,000 to $70,000; and, More than $71,000.</w:t>
      </w:r>
    </w:p>
    <w:p w:rsidR="00566A94" w:rsidRDefault="00566A94" w:rsidP="00566A94">
      <w:pPr>
        <w:pStyle w:val="ListParagraph"/>
        <w:numPr>
          <w:ilvl w:val="0"/>
          <w:numId w:val="2"/>
        </w:numPr>
        <w:rPr>
          <w:sz w:val="20"/>
          <w:szCs w:val="20"/>
        </w:rPr>
      </w:pPr>
      <w:r>
        <w:rPr>
          <w:sz w:val="20"/>
          <w:szCs w:val="20"/>
        </w:rPr>
        <w:t>The Figure utilizes the 2011</w:t>
      </w:r>
      <w:r w:rsidR="002E19BB">
        <w:rPr>
          <w:sz w:val="20"/>
          <w:szCs w:val="20"/>
        </w:rPr>
        <w:t>-2012</w:t>
      </w:r>
      <w:r>
        <w:rPr>
          <w:sz w:val="20"/>
          <w:szCs w:val="20"/>
        </w:rPr>
        <w:t xml:space="preserve"> response categories.</w:t>
      </w:r>
    </w:p>
    <w:p w:rsidR="00DC195A" w:rsidRDefault="00DC195A" w:rsidP="00886B2E">
      <w:pPr>
        <w:pStyle w:val="Heading1"/>
      </w:pPr>
      <w:bookmarkStart w:id="13" w:name="_Toc383680493"/>
      <w:r>
        <w:lastRenderedPageBreak/>
        <w:t>Marketing</w:t>
      </w:r>
      <w:bookmarkEnd w:id="13"/>
    </w:p>
    <w:p w:rsidR="00886B2E" w:rsidRDefault="00886B2E" w:rsidP="00886B2E">
      <w:pPr>
        <w:pStyle w:val="Heading2"/>
      </w:pPr>
      <w:bookmarkStart w:id="14" w:name="_Toc383680494"/>
      <w:r>
        <w:t>How Patients Learned about Services</w:t>
      </w:r>
      <w:bookmarkEnd w:id="14"/>
    </w:p>
    <w:p w:rsidR="0048725B" w:rsidRDefault="0048725B" w:rsidP="0048725B"/>
    <w:p w:rsidR="00165C1B" w:rsidRDefault="0048725B" w:rsidP="00165C1B">
      <w:pPr>
        <w:pStyle w:val="NoSpacing"/>
        <w:jc w:val="center"/>
      </w:pPr>
      <w:r>
        <w:t>Patients were asked: “</w:t>
      </w:r>
      <w:r w:rsidRPr="00165C1B">
        <w:rPr>
          <w:i/>
        </w:rPr>
        <w:t>How did you learn about the dental services we provide?</w:t>
      </w:r>
      <w:r>
        <w:t xml:space="preserve">”  </w:t>
      </w:r>
    </w:p>
    <w:p w:rsidR="00886B2E" w:rsidRDefault="00886B2E" w:rsidP="00886B2E"/>
    <w:p w:rsidR="00886B2E" w:rsidRDefault="0048725B" w:rsidP="0048725B">
      <w:pPr>
        <w:pStyle w:val="NoSpacing"/>
        <w:jc w:val="center"/>
      </w:pPr>
      <w:r>
        <w:rPr>
          <w:noProof/>
        </w:rPr>
        <w:drawing>
          <wp:inline distT="0" distB="0" distL="0" distR="0" wp14:anchorId="45A2BAF2" wp14:editId="0EEAB933">
            <wp:extent cx="5486400" cy="33337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73587" w:rsidRDefault="00473587" w:rsidP="00473587">
      <w:pPr>
        <w:pStyle w:val="NoSpacing"/>
      </w:pPr>
    </w:p>
    <w:p w:rsidR="00B060C8" w:rsidRDefault="0003092B" w:rsidP="0003092B">
      <w:r>
        <w:t>Most of the patients who completed survey</w:t>
      </w:r>
      <w:r w:rsidR="00B060C8">
        <w:t xml:space="preserve">s </w:t>
      </w:r>
      <w:r>
        <w:t xml:space="preserve">learned about the UF dental clinics from friends or relatives. </w:t>
      </w:r>
      <w:r w:rsidR="00B060C8">
        <w:t xml:space="preserve"> </w:t>
      </w:r>
      <w:r>
        <w:t xml:space="preserve">In 2009, nearly three-fifths of the respondents learned about the UF dental clinics from a friend or relative. </w:t>
      </w:r>
      <w:r w:rsidR="00B060C8">
        <w:t xml:space="preserve"> </w:t>
      </w:r>
      <w:r>
        <w:t>In 2010</w:t>
      </w:r>
      <w:r w:rsidR="002B5762">
        <w:t xml:space="preserve"> and 2011</w:t>
      </w:r>
      <w:r>
        <w:t xml:space="preserve">, the percentage of respondents who learned about the UF dental services </w:t>
      </w:r>
      <w:r w:rsidR="0031685D">
        <w:t xml:space="preserve">from a friend or relative </w:t>
      </w:r>
      <w:r>
        <w:t xml:space="preserve">declined to </w:t>
      </w:r>
      <w:r w:rsidR="002B5762">
        <w:t>about</w:t>
      </w:r>
      <w:r>
        <w:t xml:space="preserve"> two-fifths of the respondents.  </w:t>
      </w:r>
      <w:r w:rsidR="00DD2903">
        <w:t>In 2013, this percentage again declined, dropping to 4</w:t>
      </w:r>
      <w:r w:rsidR="003307C4">
        <w:t>2.</w:t>
      </w:r>
      <w:r w:rsidR="00CC08AC">
        <w:t>4</w:t>
      </w:r>
      <w:r w:rsidR="00DD2903">
        <w:t xml:space="preserve"> percent.</w:t>
      </w:r>
    </w:p>
    <w:p w:rsidR="002B5762" w:rsidRDefault="002B5762" w:rsidP="002B5762">
      <w:pPr>
        <w:pStyle w:val="NoSpacing"/>
      </w:pPr>
    </w:p>
    <w:p w:rsidR="00A24B2B" w:rsidRDefault="00A24B2B" w:rsidP="002B5762">
      <w:pPr>
        <w:pStyle w:val="NoSpacing"/>
      </w:pPr>
    </w:p>
    <w:p w:rsidR="00A24B2B" w:rsidRDefault="00A24B2B" w:rsidP="002B5762">
      <w:pPr>
        <w:pStyle w:val="NoSpacing"/>
      </w:pPr>
    </w:p>
    <w:p w:rsidR="00A24B2B" w:rsidRDefault="00A24B2B" w:rsidP="002B5762">
      <w:pPr>
        <w:pStyle w:val="NoSpacing"/>
      </w:pPr>
    </w:p>
    <w:p w:rsidR="00A24B2B" w:rsidRDefault="00A24B2B" w:rsidP="002B5762">
      <w:pPr>
        <w:pStyle w:val="NoSpacing"/>
      </w:pPr>
    </w:p>
    <w:p w:rsidR="00A24B2B" w:rsidRDefault="00A24B2B" w:rsidP="002B5762">
      <w:pPr>
        <w:pStyle w:val="NoSpacing"/>
      </w:pPr>
    </w:p>
    <w:p w:rsidR="00A24B2B" w:rsidRDefault="00A24B2B" w:rsidP="002B5762">
      <w:pPr>
        <w:pStyle w:val="NoSpacing"/>
      </w:pPr>
    </w:p>
    <w:p w:rsidR="00A24B2B" w:rsidRDefault="00A24B2B" w:rsidP="002B5762">
      <w:pPr>
        <w:pStyle w:val="NoSpacing"/>
      </w:pPr>
    </w:p>
    <w:p w:rsidR="00A24B2B" w:rsidRDefault="00A24B2B" w:rsidP="002B5762">
      <w:pPr>
        <w:pStyle w:val="NoSpacing"/>
      </w:pPr>
    </w:p>
    <w:p w:rsidR="00A24B2B" w:rsidRDefault="00A24B2B" w:rsidP="002B5762">
      <w:pPr>
        <w:pStyle w:val="NoSpacing"/>
      </w:pPr>
    </w:p>
    <w:p w:rsidR="00A24B2B" w:rsidRDefault="00A24B2B" w:rsidP="002B5762">
      <w:pPr>
        <w:pStyle w:val="NoSpacing"/>
      </w:pPr>
    </w:p>
    <w:p w:rsidR="00A24B2B" w:rsidRDefault="00A24B2B" w:rsidP="00A24B2B">
      <w:pPr>
        <w:rPr>
          <w:sz w:val="20"/>
          <w:szCs w:val="20"/>
        </w:rPr>
      </w:pPr>
      <w:r>
        <w:rPr>
          <w:sz w:val="20"/>
          <w:szCs w:val="20"/>
        </w:rPr>
        <w:t>*Notes:</w:t>
      </w:r>
    </w:p>
    <w:p w:rsidR="00A24B2B" w:rsidRDefault="00A24B2B" w:rsidP="00A24B2B">
      <w:pPr>
        <w:pStyle w:val="NoSpacing"/>
        <w:numPr>
          <w:ilvl w:val="0"/>
          <w:numId w:val="8"/>
        </w:numPr>
      </w:pPr>
      <w:r>
        <w:rPr>
          <w:sz w:val="20"/>
          <w:szCs w:val="20"/>
        </w:rPr>
        <w:t>Prior to 2012, respondents were asked to choose one response.  In 2012</w:t>
      </w:r>
      <w:r w:rsidR="00DD2903">
        <w:rPr>
          <w:sz w:val="20"/>
          <w:szCs w:val="20"/>
        </w:rPr>
        <w:t xml:space="preserve"> and after</w:t>
      </w:r>
      <w:r>
        <w:rPr>
          <w:sz w:val="20"/>
          <w:szCs w:val="20"/>
        </w:rPr>
        <w:t>, responses were instructed to “check all that apply.”  Thus, responses presented for 2012</w:t>
      </w:r>
      <w:r w:rsidR="00DD2903">
        <w:rPr>
          <w:sz w:val="20"/>
          <w:szCs w:val="20"/>
        </w:rPr>
        <w:t xml:space="preserve"> and 2013</w:t>
      </w:r>
      <w:r>
        <w:rPr>
          <w:sz w:val="20"/>
          <w:szCs w:val="20"/>
        </w:rPr>
        <w:t xml:space="preserve"> may total more than 100%, as many respondents chose more than one response.  Comparisons between data from 2009-2011 and 2012</w:t>
      </w:r>
      <w:r w:rsidR="00DD2903">
        <w:rPr>
          <w:sz w:val="20"/>
          <w:szCs w:val="20"/>
        </w:rPr>
        <w:t>-2013</w:t>
      </w:r>
      <w:r>
        <w:rPr>
          <w:sz w:val="20"/>
          <w:szCs w:val="20"/>
        </w:rPr>
        <w:t xml:space="preserve"> should be made with caution.</w:t>
      </w:r>
    </w:p>
    <w:p w:rsidR="00AF7B8C" w:rsidRPr="00055EB6" w:rsidRDefault="00AF7B8C" w:rsidP="00AF7B8C">
      <w:pPr>
        <w:spacing w:after="200" w:line="276" w:lineRule="auto"/>
        <w:jc w:val="center"/>
        <w:rPr>
          <w:sz w:val="24"/>
          <w:szCs w:val="24"/>
        </w:rPr>
      </w:pPr>
      <w:r w:rsidRPr="00055EB6">
        <w:rPr>
          <w:sz w:val="24"/>
          <w:szCs w:val="24"/>
        </w:rPr>
        <w:lastRenderedPageBreak/>
        <w:t>How Patients Learned about Services (201</w:t>
      </w:r>
      <w:r w:rsidR="00D27760">
        <w:rPr>
          <w:sz w:val="24"/>
          <w:szCs w:val="24"/>
        </w:rPr>
        <w:t>3</w:t>
      </w:r>
      <w:r w:rsidRPr="00055EB6">
        <w:rPr>
          <w:sz w:val="24"/>
          <w:szCs w:val="24"/>
        </w:rPr>
        <w:t>)</w:t>
      </w:r>
    </w:p>
    <w:tbl>
      <w:tblPr>
        <w:tblStyle w:val="TableGrid"/>
        <w:tblW w:w="0" w:type="auto"/>
        <w:tblLook w:val="04A0" w:firstRow="1" w:lastRow="0" w:firstColumn="1" w:lastColumn="0" w:noHBand="0" w:noVBand="1"/>
      </w:tblPr>
      <w:tblGrid>
        <w:gridCol w:w="5238"/>
        <w:gridCol w:w="2169"/>
        <w:gridCol w:w="2169"/>
      </w:tblGrid>
      <w:tr w:rsidR="00D27760" w:rsidRPr="00055EB6" w:rsidTr="00361497">
        <w:tc>
          <w:tcPr>
            <w:tcW w:w="5238" w:type="dxa"/>
            <w:shd w:val="clear" w:color="auto" w:fill="C6D9F1" w:themeFill="text2" w:themeFillTint="33"/>
          </w:tcPr>
          <w:p w:rsidR="00D27760" w:rsidRPr="00055EB6" w:rsidRDefault="00D27760" w:rsidP="00361497">
            <w:pPr>
              <w:pStyle w:val="NoSpacing"/>
              <w:rPr>
                <w:b/>
              </w:rPr>
            </w:pPr>
          </w:p>
        </w:tc>
        <w:tc>
          <w:tcPr>
            <w:tcW w:w="2169" w:type="dxa"/>
            <w:shd w:val="clear" w:color="auto" w:fill="C6D9F1" w:themeFill="text2" w:themeFillTint="33"/>
          </w:tcPr>
          <w:p w:rsidR="00D27760" w:rsidRPr="00055EB6" w:rsidRDefault="00D27760" w:rsidP="00361497">
            <w:pPr>
              <w:pStyle w:val="NoSpacing"/>
              <w:jc w:val="center"/>
              <w:rPr>
                <w:b/>
              </w:rPr>
            </w:pPr>
            <w:r w:rsidRPr="00055EB6">
              <w:rPr>
                <w:b/>
              </w:rPr>
              <w:t>N</w:t>
            </w:r>
          </w:p>
        </w:tc>
        <w:tc>
          <w:tcPr>
            <w:tcW w:w="2169" w:type="dxa"/>
            <w:shd w:val="clear" w:color="auto" w:fill="C6D9F1" w:themeFill="text2" w:themeFillTint="33"/>
          </w:tcPr>
          <w:p w:rsidR="00D27760" w:rsidRPr="00055EB6" w:rsidRDefault="00D27760" w:rsidP="00D27760">
            <w:pPr>
              <w:pStyle w:val="NoSpacing"/>
              <w:jc w:val="center"/>
              <w:rPr>
                <w:b/>
              </w:rPr>
            </w:pPr>
            <w:r w:rsidRPr="00055EB6">
              <w:rPr>
                <w:b/>
              </w:rPr>
              <w:t>% (N=</w:t>
            </w:r>
            <w:r>
              <w:rPr>
                <w:b/>
              </w:rPr>
              <w:t>1351</w:t>
            </w:r>
            <w:r w:rsidRPr="00055EB6">
              <w:rPr>
                <w:b/>
              </w:rPr>
              <w:t>)</w:t>
            </w:r>
          </w:p>
        </w:tc>
      </w:tr>
      <w:tr w:rsidR="00D27760" w:rsidTr="00361497">
        <w:tc>
          <w:tcPr>
            <w:tcW w:w="5238" w:type="dxa"/>
          </w:tcPr>
          <w:p w:rsidR="00D27760" w:rsidRDefault="00D27760" w:rsidP="00361497">
            <w:pPr>
              <w:pStyle w:val="NoSpacing"/>
            </w:pPr>
            <w:r>
              <w:t>Referred by friend or relative</w:t>
            </w:r>
          </w:p>
        </w:tc>
        <w:tc>
          <w:tcPr>
            <w:tcW w:w="2169" w:type="dxa"/>
          </w:tcPr>
          <w:p w:rsidR="00D27760" w:rsidRDefault="003307C4" w:rsidP="00361497">
            <w:pPr>
              <w:pStyle w:val="NoSpacing"/>
              <w:jc w:val="center"/>
            </w:pPr>
            <w:r>
              <w:t>57</w:t>
            </w:r>
            <w:r w:rsidR="00D27760">
              <w:t>0</w:t>
            </w:r>
          </w:p>
        </w:tc>
        <w:tc>
          <w:tcPr>
            <w:tcW w:w="2169" w:type="dxa"/>
          </w:tcPr>
          <w:p w:rsidR="00D27760" w:rsidRDefault="00D27760" w:rsidP="003307C4">
            <w:pPr>
              <w:pStyle w:val="NoSpacing"/>
              <w:jc w:val="center"/>
            </w:pPr>
            <w:r>
              <w:t>4</w:t>
            </w:r>
            <w:r w:rsidR="008456B2">
              <w:t>2.4</w:t>
            </w:r>
            <w:r>
              <w:t>%</w:t>
            </w:r>
          </w:p>
        </w:tc>
      </w:tr>
      <w:tr w:rsidR="00D27760" w:rsidTr="00361497">
        <w:tc>
          <w:tcPr>
            <w:tcW w:w="5238" w:type="dxa"/>
          </w:tcPr>
          <w:p w:rsidR="00D27760" w:rsidRDefault="00D27760" w:rsidP="00361497">
            <w:pPr>
              <w:pStyle w:val="NoSpacing"/>
            </w:pPr>
            <w:r>
              <w:t>Referred by another health care provider</w:t>
            </w:r>
          </w:p>
        </w:tc>
        <w:tc>
          <w:tcPr>
            <w:tcW w:w="2169" w:type="dxa"/>
          </w:tcPr>
          <w:p w:rsidR="00D27760" w:rsidRDefault="003307C4" w:rsidP="00361497">
            <w:pPr>
              <w:pStyle w:val="NoSpacing"/>
              <w:jc w:val="center"/>
            </w:pPr>
            <w:r>
              <w:t>337</w:t>
            </w:r>
          </w:p>
        </w:tc>
        <w:tc>
          <w:tcPr>
            <w:tcW w:w="2169" w:type="dxa"/>
          </w:tcPr>
          <w:p w:rsidR="00D27760" w:rsidRDefault="00D27760" w:rsidP="003307C4">
            <w:pPr>
              <w:pStyle w:val="NoSpacing"/>
              <w:jc w:val="center"/>
            </w:pPr>
            <w:r>
              <w:t>24.</w:t>
            </w:r>
            <w:r w:rsidR="008456B2">
              <w:t>5</w:t>
            </w:r>
            <w:r>
              <w:t>%</w:t>
            </w:r>
          </w:p>
        </w:tc>
      </w:tr>
      <w:tr w:rsidR="003307C4" w:rsidTr="003307C4">
        <w:tc>
          <w:tcPr>
            <w:tcW w:w="5238" w:type="dxa"/>
          </w:tcPr>
          <w:p w:rsidR="003307C4" w:rsidRDefault="003307C4" w:rsidP="00EC287B">
            <w:pPr>
              <w:pStyle w:val="NoSpacing"/>
            </w:pPr>
            <w:r>
              <w:t>UF College of Dentistry website</w:t>
            </w:r>
          </w:p>
        </w:tc>
        <w:tc>
          <w:tcPr>
            <w:tcW w:w="2169" w:type="dxa"/>
          </w:tcPr>
          <w:p w:rsidR="003307C4" w:rsidRDefault="003307C4" w:rsidP="00EC287B">
            <w:pPr>
              <w:pStyle w:val="NoSpacing"/>
              <w:jc w:val="center"/>
            </w:pPr>
            <w:r>
              <w:t>95</w:t>
            </w:r>
          </w:p>
        </w:tc>
        <w:tc>
          <w:tcPr>
            <w:tcW w:w="2169" w:type="dxa"/>
          </w:tcPr>
          <w:p w:rsidR="003307C4" w:rsidRDefault="008456B2" w:rsidP="00EC287B">
            <w:pPr>
              <w:pStyle w:val="NoSpacing"/>
              <w:jc w:val="center"/>
            </w:pPr>
            <w:r>
              <w:t>7.4</w:t>
            </w:r>
            <w:r w:rsidR="003307C4">
              <w:t>%</w:t>
            </w:r>
          </w:p>
        </w:tc>
      </w:tr>
      <w:tr w:rsidR="00D27760" w:rsidTr="00361497">
        <w:tc>
          <w:tcPr>
            <w:tcW w:w="5238" w:type="dxa"/>
          </w:tcPr>
          <w:p w:rsidR="00D27760" w:rsidRDefault="00D27760" w:rsidP="00361497">
            <w:pPr>
              <w:pStyle w:val="NoSpacing"/>
            </w:pPr>
            <w:r>
              <w:t>Enrolled in Medicaid Insurance program</w:t>
            </w:r>
          </w:p>
        </w:tc>
        <w:tc>
          <w:tcPr>
            <w:tcW w:w="2169" w:type="dxa"/>
          </w:tcPr>
          <w:p w:rsidR="00D27760" w:rsidRDefault="00D27760" w:rsidP="00361497">
            <w:pPr>
              <w:pStyle w:val="NoSpacing"/>
              <w:jc w:val="center"/>
            </w:pPr>
            <w:r>
              <w:t>92</w:t>
            </w:r>
          </w:p>
        </w:tc>
        <w:tc>
          <w:tcPr>
            <w:tcW w:w="2169" w:type="dxa"/>
          </w:tcPr>
          <w:p w:rsidR="00D27760" w:rsidRDefault="008456B2" w:rsidP="00361497">
            <w:pPr>
              <w:pStyle w:val="NoSpacing"/>
              <w:jc w:val="center"/>
            </w:pPr>
            <w:r>
              <w:t>6.7</w:t>
            </w:r>
            <w:r w:rsidR="00D27760">
              <w:t>%</w:t>
            </w:r>
          </w:p>
        </w:tc>
      </w:tr>
      <w:tr w:rsidR="00D27760" w:rsidTr="00361497">
        <w:tc>
          <w:tcPr>
            <w:tcW w:w="5238" w:type="dxa"/>
          </w:tcPr>
          <w:p w:rsidR="00D27760" w:rsidRDefault="00D27760" w:rsidP="00361497">
            <w:pPr>
              <w:pStyle w:val="NoSpacing"/>
            </w:pPr>
            <w:r>
              <w:t>Referred by student dentist</w:t>
            </w:r>
          </w:p>
        </w:tc>
        <w:tc>
          <w:tcPr>
            <w:tcW w:w="2169" w:type="dxa"/>
          </w:tcPr>
          <w:p w:rsidR="00D27760" w:rsidRDefault="003307C4" w:rsidP="00361497">
            <w:pPr>
              <w:pStyle w:val="NoSpacing"/>
              <w:jc w:val="center"/>
            </w:pPr>
            <w:r>
              <w:t>89</w:t>
            </w:r>
          </w:p>
        </w:tc>
        <w:tc>
          <w:tcPr>
            <w:tcW w:w="2169" w:type="dxa"/>
          </w:tcPr>
          <w:p w:rsidR="00D27760" w:rsidRDefault="00D27760" w:rsidP="003307C4">
            <w:pPr>
              <w:pStyle w:val="NoSpacing"/>
              <w:jc w:val="center"/>
            </w:pPr>
            <w:r>
              <w:t>6.</w:t>
            </w:r>
            <w:r w:rsidR="008456B2">
              <w:t>4</w:t>
            </w:r>
            <w:r>
              <w:t>%</w:t>
            </w:r>
          </w:p>
        </w:tc>
      </w:tr>
      <w:tr w:rsidR="00D27760" w:rsidTr="00361497">
        <w:tc>
          <w:tcPr>
            <w:tcW w:w="5238" w:type="dxa"/>
          </w:tcPr>
          <w:p w:rsidR="00D27760" w:rsidRDefault="00D27760" w:rsidP="0089420C">
            <w:pPr>
              <w:pStyle w:val="NoSpacing"/>
            </w:pPr>
            <w:r>
              <w:t>Noticed the dental clinics on the way to Shands</w:t>
            </w:r>
          </w:p>
        </w:tc>
        <w:tc>
          <w:tcPr>
            <w:tcW w:w="2169" w:type="dxa"/>
          </w:tcPr>
          <w:p w:rsidR="00D27760" w:rsidRDefault="00D27760" w:rsidP="00361497">
            <w:pPr>
              <w:pStyle w:val="NoSpacing"/>
              <w:jc w:val="center"/>
            </w:pPr>
            <w:r>
              <w:t>62</w:t>
            </w:r>
          </w:p>
        </w:tc>
        <w:tc>
          <w:tcPr>
            <w:tcW w:w="2169" w:type="dxa"/>
          </w:tcPr>
          <w:p w:rsidR="00D27760" w:rsidRDefault="008456B2" w:rsidP="00361497">
            <w:pPr>
              <w:pStyle w:val="NoSpacing"/>
              <w:jc w:val="center"/>
            </w:pPr>
            <w:r>
              <w:t>4.4</w:t>
            </w:r>
            <w:r w:rsidR="00D27760">
              <w:t>%</w:t>
            </w:r>
          </w:p>
        </w:tc>
      </w:tr>
      <w:tr w:rsidR="00D27760" w:rsidTr="00361497">
        <w:tc>
          <w:tcPr>
            <w:tcW w:w="5238" w:type="dxa"/>
          </w:tcPr>
          <w:p w:rsidR="00D27760" w:rsidRDefault="00D27760" w:rsidP="00361497">
            <w:pPr>
              <w:pStyle w:val="NoSpacing"/>
            </w:pPr>
            <w:r>
              <w:t>Emergency Clinic/SOS</w:t>
            </w:r>
          </w:p>
        </w:tc>
        <w:tc>
          <w:tcPr>
            <w:tcW w:w="2169" w:type="dxa"/>
          </w:tcPr>
          <w:p w:rsidR="00D27760" w:rsidRDefault="003307C4" w:rsidP="00361497">
            <w:pPr>
              <w:pStyle w:val="NoSpacing"/>
              <w:jc w:val="center"/>
            </w:pPr>
            <w:r>
              <w:t>53</w:t>
            </w:r>
          </w:p>
        </w:tc>
        <w:tc>
          <w:tcPr>
            <w:tcW w:w="2169" w:type="dxa"/>
          </w:tcPr>
          <w:p w:rsidR="00D27760" w:rsidRDefault="008456B2" w:rsidP="00361497">
            <w:pPr>
              <w:pStyle w:val="NoSpacing"/>
              <w:jc w:val="center"/>
            </w:pPr>
            <w:r>
              <w:t>4.0</w:t>
            </w:r>
            <w:r w:rsidR="00D27760">
              <w:t>%</w:t>
            </w:r>
          </w:p>
        </w:tc>
      </w:tr>
      <w:tr w:rsidR="00D27760" w:rsidTr="00361497">
        <w:tc>
          <w:tcPr>
            <w:tcW w:w="5238" w:type="dxa"/>
          </w:tcPr>
          <w:p w:rsidR="00D27760" w:rsidRDefault="00D27760" w:rsidP="0089420C">
            <w:pPr>
              <w:pStyle w:val="NoSpacing"/>
            </w:pPr>
            <w:r>
              <w:t xml:space="preserve">Enrolled in Alachua County CHOICES </w:t>
            </w:r>
          </w:p>
        </w:tc>
        <w:tc>
          <w:tcPr>
            <w:tcW w:w="2169" w:type="dxa"/>
          </w:tcPr>
          <w:p w:rsidR="00D27760" w:rsidRDefault="00D27760" w:rsidP="00361497">
            <w:pPr>
              <w:pStyle w:val="NoSpacing"/>
              <w:jc w:val="center"/>
            </w:pPr>
            <w:r>
              <w:t>38</w:t>
            </w:r>
          </w:p>
        </w:tc>
        <w:tc>
          <w:tcPr>
            <w:tcW w:w="2169" w:type="dxa"/>
          </w:tcPr>
          <w:p w:rsidR="00D27760" w:rsidRDefault="008456B2" w:rsidP="00361497">
            <w:pPr>
              <w:pStyle w:val="NoSpacing"/>
              <w:jc w:val="center"/>
            </w:pPr>
            <w:r>
              <w:t>2.7</w:t>
            </w:r>
            <w:r w:rsidR="00D27760">
              <w:t>%</w:t>
            </w:r>
          </w:p>
        </w:tc>
      </w:tr>
      <w:tr w:rsidR="00D27760" w:rsidTr="00361497">
        <w:tc>
          <w:tcPr>
            <w:tcW w:w="5238" w:type="dxa"/>
          </w:tcPr>
          <w:p w:rsidR="00D27760" w:rsidRDefault="00D27760" w:rsidP="00361497">
            <w:pPr>
              <w:pStyle w:val="NoSpacing"/>
            </w:pPr>
            <w:r>
              <w:t>Gator Advantage member</w:t>
            </w:r>
          </w:p>
        </w:tc>
        <w:tc>
          <w:tcPr>
            <w:tcW w:w="2169" w:type="dxa"/>
          </w:tcPr>
          <w:p w:rsidR="00D27760" w:rsidRDefault="00D27760" w:rsidP="00361497">
            <w:pPr>
              <w:pStyle w:val="NoSpacing"/>
              <w:jc w:val="center"/>
            </w:pPr>
            <w:r>
              <w:t>27</w:t>
            </w:r>
          </w:p>
        </w:tc>
        <w:tc>
          <w:tcPr>
            <w:tcW w:w="2169" w:type="dxa"/>
          </w:tcPr>
          <w:p w:rsidR="00D27760" w:rsidRDefault="008456B2" w:rsidP="00361497">
            <w:pPr>
              <w:pStyle w:val="NoSpacing"/>
              <w:jc w:val="center"/>
            </w:pPr>
            <w:r>
              <w:t>1.9</w:t>
            </w:r>
            <w:r w:rsidR="00D27760">
              <w:t>%</w:t>
            </w:r>
          </w:p>
        </w:tc>
      </w:tr>
      <w:tr w:rsidR="00D27760" w:rsidTr="00361497">
        <w:tc>
          <w:tcPr>
            <w:tcW w:w="5238" w:type="dxa"/>
          </w:tcPr>
          <w:p w:rsidR="00D27760" w:rsidRDefault="00D27760" w:rsidP="00361497">
            <w:pPr>
              <w:pStyle w:val="NoSpacing"/>
            </w:pPr>
            <w:r>
              <w:t>Saw ad in the phone book</w:t>
            </w:r>
          </w:p>
        </w:tc>
        <w:tc>
          <w:tcPr>
            <w:tcW w:w="2169" w:type="dxa"/>
          </w:tcPr>
          <w:p w:rsidR="00D27760" w:rsidRDefault="00D27760" w:rsidP="00361497">
            <w:pPr>
              <w:pStyle w:val="NoSpacing"/>
              <w:jc w:val="center"/>
            </w:pPr>
            <w:r>
              <w:t>10</w:t>
            </w:r>
          </w:p>
        </w:tc>
        <w:tc>
          <w:tcPr>
            <w:tcW w:w="2169" w:type="dxa"/>
          </w:tcPr>
          <w:p w:rsidR="00D27760" w:rsidRDefault="00D27760" w:rsidP="00361497">
            <w:pPr>
              <w:pStyle w:val="NoSpacing"/>
              <w:jc w:val="center"/>
            </w:pPr>
            <w:r>
              <w:t>0.7%</w:t>
            </w:r>
          </w:p>
        </w:tc>
      </w:tr>
      <w:tr w:rsidR="00D27760" w:rsidTr="00361497">
        <w:tc>
          <w:tcPr>
            <w:tcW w:w="5238" w:type="dxa"/>
          </w:tcPr>
          <w:p w:rsidR="00D27760" w:rsidRDefault="00D27760" w:rsidP="00361497">
            <w:pPr>
              <w:pStyle w:val="NoSpacing"/>
            </w:pPr>
            <w:r>
              <w:t>At a health fair/community event</w:t>
            </w:r>
          </w:p>
        </w:tc>
        <w:tc>
          <w:tcPr>
            <w:tcW w:w="2169" w:type="dxa"/>
          </w:tcPr>
          <w:p w:rsidR="00D27760" w:rsidRDefault="003307C4" w:rsidP="00361497">
            <w:pPr>
              <w:pStyle w:val="NoSpacing"/>
              <w:jc w:val="center"/>
            </w:pPr>
            <w:r>
              <w:t>4</w:t>
            </w:r>
          </w:p>
        </w:tc>
        <w:tc>
          <w:tcPr>
            <w:tcW w:w="2169" w:type="dxa"/>
          </w:tcPr>
          <w:p w:rsidR="00D27760" w:rsidRDefault="00D27760" w:rsidP="003307C4">
            <w:pPr>
              <w:pStyle w:val="NoSpacing"/>
              <w:jc w:val="center"/>
            </w:pPr>
            <w:r>
              <w:t>0.</w:t>
            </w:r>
            <w:r w:rsidR="003307C4">
              <w:t>3</w:t>
            </w:r>
            <w:r>
              <w:t>%</w:t>
            </w:r>
          </w:p>
        </w:tc>
      </w:tr>
      <w:tr w:rsidR="00D27760" w:rsidTr="00D27760">
        <w:tc>
          <w:tcPr>
            <w:tcW w:w="5238" w:type="dxa"/>
          </w:tcPr>
          <w:p w:rsidR="00D27760" w:rsidRDefault="00D27760" w:rsidP="00DD3607">
            <w:pPr>
              <w:pStyle w:val="NoSpacing"/>
            </w:pPr>
            <w:r>
              <w:t>Other</w:t>
            </w:r>
          </w:p>
        </w:tc>
        <w:tc>
          <w:tcPr>
            <w:tcW w:w="2169" w:type="dxa"/>
          </w:tcPr>
          <w:p w:rsidR="00D27760" w:rsidRDefault="003307C4" w:rsidP="00DD3607">
            <w:pPr>
              <w:pStyle w:val="NoSpacing"/>
              <w:jc w:val="center"/>
            </w:pPr>
            <w:r>
              <w:t>124</w:t>
            </w:r>
          </w:p>
        </w:tc>
        <w:tc>
          <w:tcPr>
            <w:tcW w:w="2169" w:type="dxa"/>
          </w:tcPr>
          <w:p w:rsidR="00D27760" w:rsidRDefault="008456B2" w:rsidP="00DD3607">
            <w:pPr>
              <w:pStyle w:val="NoSpacing"/>
              <w:jc w:val="center"/>
            </w:pPr>
            <w:r>
              <w:t>9.6</w:t>
            </w:r>
            <w:r w:rsidR="00D27760">
              <w:t>%</w:t>
            </w:r>
          </w:p>
        </w:tc>
      </w:tr>
    </w:tbl>
    <w:p w:rsidR="00AF7B8C" w:rsidRDefault="00AF7B8C" w:rsidP="00AF7B8C">
      <w:pPr>
        <w:spacing w:after="200" w:line="276" w:lineRule="auto"/>
      </w:pPr>
    </w:p>
    <w:p w:rsidR="00A61694" w:rsidRDefault="00491A75" w:rsidP="00AF7B8C">
      <w:pPr>
        <w:spacing w:after="200" w:line="276" w:lineRule="auto"/>
      </w:pPr>
      <w:r>
        <w:t xml:space="preserve">About </w:t>
      </w:r>
      <w:r w:rsidR="00D27760">
        <w:t>two-fifths</w:t>
      </w:r>
      <w:r>
        <w:t xml:space="preserve"> </w:t>
      </w:r>
      <w:r w:rsidR="00A61694">
        <w:t>(</w:t>
      </w:r>
      <w:r w:rsidR="00D27760">
        <w:t>4</w:t>
      </w:r>
      <w:r w:rsidR="008456B2">
        <w:t>2.4</w:t>
      </w:r>
      <w:r w:rsidR="00A61694">
        <w:t xml:space="preserve">%) of the respondents indicate that they learned about the dental services provided by the UF College of Dentistry through a referral by a friend or relative – by far the most frequently cited response.  </w:t>
      </w:r>
      <w:r>
        <w:t>One-</w:t>
      </w:r>
      <w:r w:rsidR="00D27760">
        <w:t>quarter</w:t>
      </w:r>
      <w:r w:rsidR="00A61694">
        <w:t xml:space="preserve"> (</w:t>
      </w:r>
      <w:r>
        <w:t>2</w:t>
      </w:r>
      <w:r w:rsidR="008456B2">
        <w:t>4.5</w:t>
      </w:r>
      <w:r w:rsidR="00A61694">
        <w:t xml:space="preserve">%) of the patients who completed surveys indicate that they were referred by another health care provider, and about </w:t>
      </w:r>
      <w:r w:rsidR="00D27760">
        <w:t>seven percent</w:t>
      </w:r>
      <w:r w:rsidR="00A61694">
        <w:t xml:space="preserve"> </w:t>
      </w:r>
      <w:r w:rsidR="008456B2">
        <w:t>utilized the website (7.4</w:t>
      </w:r>
      <w:r w:rsidR="003307C4">
        <w:t xml:space="preserve">%), </w:t>
      </w:r>
      <w:r w:rsidR="00A61694">
        <w:t>were</w:t>
      </w:r>
      <w:r w:rsidR="00D27760">
        <w:t xml:space="preserve"> enrolled in the Medicaid insurance program</w:t>
      </w:r>
      <w:r w:rsidR="008456B2">
        <w:t xml:space="preserve"> (6.7</w:t>
      </w:r>
      <w:r w:rsidR="003307C4">
        <w:t>%),</w:t>
      </w:r>
      <w:r w:rsidR="00D27760">
        <w:t xml:space="preserve"> or</w:t>
      </w:r>
      <w:r w:rsidR="003307C4">
        <w:t xml:space="preserve"> were</w:t>
      </w:r>
      <w:r w:rsidR="00A61694">
        <w:t xml:space="preserve"> referred by a student dentist</w:t>
      </w:r>
      <w:r w:rsidR="008456B2">
        <w:t xml:space="preserve"> (6.4</w:t>
      </w:r>
      <w:r w:rsidR="00D764C0">
        <w:t>%)</w:t>
      </w:r>
      <w:r w:rsidR="00A61694">
        <w:t>.</w:t>
      </w:r>
    </w:p>
    <w:p w:rsidR="00A61694" w:rsidRDefault="00A61694" w:rsidP="00AF7B8C">
      <w:pPr>
        <w:spacing w:after="200" w:line="276" w:lineRule="auto"/>
      </w:pPr>
      <w:r>
        <w:t>The following are sizable groupings of open-ended responses provided to describe “Other” (</w:t>
      </w:r>
      <w:r w:rsidR="008456B2">
        <w:t>9.6</w:t>
      </w:r>
      <w:r>
        <w:t>%) ways of learning about the services of the College of Dentistry:</w:t>
      </w:r>
    </w:p>
    <w:p w:rsidR="00A61694" w:rsidRDefault="00491A75" w:rsidP="00A61694">
      <w:pPr>
        <w:pStyle w:val="ListParagraph"/>
        <w:numPr>
          <w:ilvl w:val="0"/>
          <w:numId w:val="5"/>
        </w:numPr>
        <w:spacing w:after="200" w:line="276" w:lineRule="auto"/>
      </w:pPr>
      <w:r>
        <w:t>Previous</w:t>
      </w:r>
      <w:r w:rsidR="004F161E">
        <w:t>/Long-time</w:t>
      </w:r>
      <w:r>
        <w:t xml:space="preserve"> patient (</w:t>
      </w:r>
      <w:r w:rsidR="004F161E">
        <w:t>n=</w:t>
      </w:r>
      <w:r w:rsidR="00FD29F1">
        <w:t>29</w:t>
      </w:r>
      <w:r w:rsidR="00A61694">
        <w:t>)</w:t>
      </w:r>
    </w:p>
    <w:p w:rsidR="00A61694" w:rsidRDefault="00491A75" w:rsidP="00A61694">
      <w:pPr>
        <w:pStyle w:val="ListParagraph"/>
        <w:numPr>
          <w:ilvl w:val="0"/>
          <w:numId w:val="5"/>
        </w:numPr>
        <w:spacing w:after="200" w:line="276" w:lineRule="auto"/>
      </w:pPr>
      <w:r>
        <w:t>Employee of UF or Shands</w:t>
      </w:r>
      <w:r w:rsidR="004F161E">
        <w:t xml:space="preserve"> (n=</w:t>
      </w:r>
      <w:r w:rsidR="00FD29F1">
        <w:t>21</w:t>
      </w:r>
      <w:r w:rsidR="00A61694">
        <w:t>)</w:t>
      </w:r>
    </w:p>
    <w:p w:rsidR="004F161E" w:rsidRDefault="004F161E" w:rsidP="00A61694">
      <w:pPr>
        <w:pStyle w:val="ListParagraph"/>
        <w:numPr>
          <w:ilvl w:val="0"/>
          <w:numId w:val="5"/>
        </w:numPr>
        <w:spacing w:after="200" w:line="276" w:lineRule="auto"/>
      </w:pPr>
      <w:r>
        <w:t>Current or Former UF student (n=</w:t>
      </w:r>
      <w:r w:rsidR="00FD29F1">
        <w:t>9</w:t>
      </w:r>
      <w:r>
        <w:t>)</w:t>
      </w:r>
    </w:p>
    <w:p w:rsidR="00AF7B8C" w:rsidRDefault="00AF7B8C" w:rsidP="00A61694">
      <w:pPr>
        <w:pStyle w:val="ListParagraph"/>
        <w:numPr>
          <w:ilvl w:val="1"/>
          <w:numId w:val="4"/>
        </w:numPr>
        <w:spacing w:after="200" w:line="276" w:lineRule="auto"/>
      </w:pPr>
      <w:r>
        <w:br w:type="page"/>
      </w:r>
    </w:p>
    <w:p w:rsidR="00473587" w:rsidRDefault="00473587" w:rsidP="00165C1B">
      <w:pPr>
        <w:pStyle w:val="Heading2"/>
      </w:pPr>
      <w:bookmarkStart w:id="15" w:name="_Toc383680495"/>
      <w:r>
        <w:lastRenderedPageBreak/>
        <w:t>Length of Time as a Patient</w:t>
      </w:r>
      <w:bookmarkEnd w:id="15"/>
    </w:p>
    <w:p w:rsidR="00473587" w:rsidRDefault="00473587" w:rsidP="00473587">
      <w:pPr>
        <w:pStyle w:val="NoSpacing"/>
      </w:pPr>
    </w:p>
    <w:p w:rsidR="00473587" w:rsidRDefault="00473587" w:rsidP="00165C1B">
      <w:pPr>
        <w:pStyle w:val="NoSpacing"/>
        <w:jc w:val="center"/>
      </w:pPr>
      <w:r>
        <w:t>Patients were asked: “</w:t>
      </w:r>
      <w:r w:rsidRPr="00165C1B">
        <w:rPr>
          <w:i/>
        </w:rPr>
        <w:t>How long have you been a patient with us?</w:t>
      </w:r>
      <w:r>
        <w:t>”</w:t>
      </w:r>
    </w:p>
    <w:p w:rsidR="00473587" w:rsidRDefault="00473587" w:rsidP="00473587">
      <w:pPr>
        <w:pStyle w:val="NoSpacing"/>
      </w:pPr>
    </w:p>
    <w:p w:rsidR="00473587" w:rsidRDefault="00473587" w:rsidP="00165C1B">
      <w:pPr>
        <w:pStyle w:val="NoSpacing"/>
        <w:jc w:val="center"/>
      </w:pPr>
      <w:r w:rsidRPr="00473587">
        <w:rPr>
          <w:noProof/>
        </w:rPr>
        <w:drawing>
          <wp:inline distT="0" distB="0" distL="0" distR="0" wp14:anchorId="01B3EBEC" wp14:editId="6E6E72C1">
            <wp:extent cx="5486400" cy="3200400"/>
            <wp:effectExtent l="19050" t="0" r="1905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6277A" w:rsidRDefault="0056277A" w:rsidP="0056277A">
      <w:pPr>
        <w:pStyle w:val="NoSpacing"/>
      </w:pPr>
    </w:p>
    <w:p w:rsidR="00B060C8" w:rsidRDefault="00F2530F" w:rsidP="00320FDE">
      <w:r>
        <w:t>In all of the study years, a</w:t>
      </w:r>
      <w:r w:rsidR="00B060C8">
        <w:t xml:space="preserve"> substantial percentage of the survey respondents have been patients for less than six months.   </w:t>
      </w:r>
      <w:r>
        <w:t>From 200</w:t>
      </w:r>
      <w:r w:rsidR="00002E06">
        <w:t>9</w:t>
      </w:r>
      <w:r>
        <w:t xml:space="preserve"> to 20</w:t>
      </w:r>
      <w:r w:rsidR="00320FDE">
        <w:t>1</w:t>
      </w:r>
      <w:r w:rsidR="00002E06">
        <w:t>2</w:t>
      </w:r>
      <w:r>
        <w:t>, a</w:t>
      </w:r>
      <w:r w:rsidR="00B060C8">
        <w:t xml:space="preserve">bout </w:t>
      </w:r>
      <w:r w:rsidR="00320FDE">
        <w:t xml:space="preserve">one-third </w:t>
      </w:r>
      <w:r w:rsidR="00B060C8">
        <w:t xml:space="preserve">of the respondents indicate that they </w:t>
      </w:r>
      <w:r>
        <w:t>ha</w:t>
      </w:r>
      <w:r w:rsidR="00320FDE">
        <w:t>ve</w:t>
      </w:r>
      <w:r>
        <w:t xml:space="preserve"> been</w:t>
      </w:r>
      <w:r w:rsidR="00B060C8">
        <w:t xml:space="preserve"> patient</w:t>
      </w:r>
      <w:r>
        <w:t>s</w:t>
      </w:r>
      <w:r w:rsidR="00B060C8">
        <w:t xml:space="preserve"> for “Less than six months.”  </w:t>
      </w:r>
      <w:r w:rsidR="00320FDE">
        <w:t>Although t</w:t>
      </w:r>
      <w:r w:rsidR="00B060C8">
        <w:t xml:space="preserve">he respondents who completed the 2010 survey were less likely than </w:t>
      </w:r>
      <w:r>
        <w:t xml:space="preserve">those </w:t>
      </w:r>
      <w:r w:rsidR="00B060C8">
        <w:t xml:space="preserve">in previous years to </w:t>
      </w:r>
      <w:r>
        <w:t xml:space="preserve">have </w:t>
      </w:r>
      <w:r w:rsidR="00B060C8">
        <w:t>be</w:t>
      </w:r>
      <w:r>
        <w:t>en</w:t>
      </w:r>
      <w:r w:rsidR="00B060C8">
        <w:t xml:space="preserve"> a patient for </w:t>
      </w:r>
      <w:r w:rsidR="00320FDE">
        <w:t>l</w:t>
      </w:r>
      <w:r w:rsidR="00B060C8">
        <w:t>ess than six months</w:t>
      </w:r>
      <w:r w:rsidR="00320FDE">
        <w:t xml:space="preserve"> (28.0%), in 2011, more than one-third (34.0%) of the patients who completed surveys indicate having been patients for less than six months.</w:t>
      </w:r>
      <w:r w:rsidR="002E19BB">
        <w:t xml:space="preserve">  And again, in 2012, more than one-third (35.1%) of the responding patients indicate having been patients for less than six months.</w:t>
      </w:r>
    </w:p>
    <w:p w:rsidR="00320FDE" w:rsidRDefault="00320FDE" w:rsidP="00320FDE">
      <w:pPr>
        <w:pStyle w:val="NoSpacing"/>
      </w:pPr>
    </w:p>
    <w:p w:rsidR="00320FDE" w:rsidRPr="00320FDE" w:rsidRDefault="00320FDE" w:rsidP="00320FDE">
      <w:pPr>
        <w:pStyle w:val="NoSpacing"/>
      </w:pPr>
      <w:r>
        <w:t>In 201</w:t>
      </w:r>
      <w:r w:rsidR="00002E06">
        <w:t>3</w:t>
      </w:r>
      <w:r>
        <w:t xml:space="preserve">, </w:t>
      </w:r>
      <w:r w:rsidR="00285889">
        <w:t>more than one-third (35.6</w:t>
      </w:r>
      <w:r w:rsidR="00002E06">
        <w:t xml:space="preserve">%) of the responding patients indicate having been patients for less than six months and </w:t>
      </w:r>
      <w:r>
        <w:t>approximately one-sixth of the respondents report having been a patient for six months to one year (1</w:t>
      </w:r>
      <w:r w:rsidR="002E19BB">
        <w:t>4</w:t>
      </w:r>
      <w:r w:rsidR="00285889">
        <w:t>.1</w:t>
      </w:r>
      <w:r w:rsidR="002E19BB">
        <w:t>%); one to two years (1</w:t>
      </w:r>
      <w:r w:rsidR="00285889">
        <w:t>7.0</w:t>
      </w:r>
      <w:r>
        <w:t>%); two to five years (1</w:t>
      </w:r>
      <w:r w:rsidR="00002E06">
        <w:t>6</w:t>
      </w:r>
      <w:r w:rsidR="00285889">
        <w:t>.3</w:t>
      </w:r>
      <w:r>
        <w:t>%); or, more than five years (1</w:t>
      </w:r>
      <w:r w:rsidR="00285889">
        <w:t>7.1</w:t>
      </w:r>
      <w:r>
        <w:t>%).</w:t>
      </w:r>
    </w:p>
    <w:p w:rsidR="00320FDE" w:rsidRPr="00320FDE" w:rsidRDefault="00320FDE" w:rsidP="00320FDE"/>
    <w:p w:rsidR="00320FDE" w:rsidRPr="00320FDE" w:rsidRDefault="00320FDE" w:rsidP="00320FDE"/>
    <w:p w:rsidR="00320FDE" w:rsidRDefault="00320FDE" w:rsidP="00320FDE">
      <w:pPr>
        <w:pStyle w:val="NoSpacing"/>
      </w:pPr>
    </w:p>
    <w:p w:rsidR="00320FDE" w:rsidRPr="00320FDE" w:rsidRDefault="00320FDE" w:rsidP="00320FDE">
      <w:pPr>
        <w:pStyle w:val="NoSpacing"/>
      </w:pPr>
    </w:p>
    <w:p w:rsidR="00525D03" w:rsidRDefault="00525D03">
      <w:pPr>
        <w:spacing w:after="200" w:line="276" w:lineRule="auto"/>
        <w:rPr>
          <w:rFonts w:asciiTheme="majorHAnsi" w:eastAsiaTheme="majorEastAsia" w:hAnsiTheme="majorHAnsi" w:cstheme="majorBidi"/>
          <w:b/>
          <w:bCs/>
          <w:color w:val="4F81BD" w:themeColor="accent1"/>
          <w:sz w:val="26"/>
          <w:szCs w:val="26"/>
        </w:rPr>
      </w:pPr>
      <w:r>
        <w:br w:type="page"/>
      </w:r>
    </w:p>
    <w:p w:rsidR="0056277A" w:rsidRDefault="0056277A" w:rsidP="00525D03">
      <w:pPr>
        <w:pStyle w:val="Heading2"/>
      </w:pPr>
      <w:bookmarkStart w:id="16" w:name="_Toc383680496"/>
      <w:r>
        <w:lastRenderedPageBreak/>
        <w:t>Reasons for Coming to UF College of Dentistry</w:t>
      </w:r>
      <w:bookmarkEnd w:id="16"/>
    </w:p>
    <w:p w:rsidR="00525D03" w:rsidRDefault="00525D03" w:rsidP="00525D03">
      <w:pPr>
        <w:pStyle w:val="NoSpacing"/>
        <w:jc w:val="center"/>
      </w:pPr>
    </w:p>
    <w:p w:rsidR="00FD269A" w:rsidRDefault="00FD269A" w:rsidP="00FD269A">
      <w:pPr>
        <w:pStyle w:val="NoSpacing"/>
        <w:jc w:val="center"/>
      </w:pPr>
      <w:r>
        <w:t>Patients were asked: “</w:t>
      </w:r>
      <w:r>
        <w:rPr>
          <w:i/>
        </w:rPr>
        <w:t>Which of the following is the most important reason you come to the UF College of Dentistry for your dental care?</w:t>
      </w:r>
      <w:r>
        <w:t xml:space="preserve">” </w:t>
      </w:r>
    </w:p>
    <w:p w:rsidR="00FD269A" w:rsidRDefault="00FD269A" w:rsidP="00FD269A">
      <w:pPr>
        <w:pStyle w:val="NoSpacing"/>
        <w:jc w:val="center"/>
      </w:pPr>
      <w:r>
        <w:t>(Respondents were asked to choose one response.)</w:t>
      </w:r>
    </w:p>
    <w:p w:rsidR="00FD269A" w:rsidRDefault="00FD269A" w:rsidP="00FD269A">
      <w:pPr>
        <w:pStyle w:val="NoSpacing"/>
        <w:jc w:val="center"/>
      </w:pPr>
    </w:p>
    <w:p w:rsidR="00FD269A" w:rsidRDefault="00FD269A" w:rsidP="00FD269A">
      <w:pPr>
        <w:pStyle w:val="NoSpacing"/>
        <w:jc w:val="center"/>
      </w:pPr>
      <w:r>
        <w:rPr>
          <w:noProof/>
        </w:rPr>
        <w:drawing>
          <wp:inline distT="0" distB="0" distL="0" distR="0" wp14:anchorId="1E3554E6" wp14:editId="7F06AC7B">
            <wp:extent cx="5486400" cy="3476625"/>
            <wp:effectExtent l="0" t="0" r="1905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D269A" w:rsidRDefault="00FD269A" w:rsidP="00FD269A">
      <w:pPr>
        <w:pStyle w:val="NoSpacing"/>
      </w:pPr>
    </w:p>
    <w:p w:rsidR="00FD269A" w:rsidRDefault="008F326F" w:rsidP="00FD269A">
      <w:pPr>
        <w:pStyle w:val="NoSpacing"/>
      </w:pPr>
      <w:r>
        <w:t xml:space="preserve">Since </w:t>
      </w:r>
      <w:r w:rsidR="00FD269A">
        <w:t xml:space="preserve">2011, rather than asking patients to indicate all of the reasons that they come to the UF College of Dentistry for dental care, patients were asked to indicate the single most important reason that they choose to come to the UF College of Dentistry.  </w:t>
      </w:r>
      <w:r>
        <w:t>In 201</w:t>
      </w:r>
      <w:r w:rsidR="00947A2E">
        <w:t>3</w:t>
      </w:r>
      <w:r>
        <w:t xml:space="preserve">, </w:t>
      </w:r>
      <w:r w:rsidR="00947A2E">
        <w:t>more than one-quarter</w:t>
      </w:r>
      <w:r w:rsidR="00FD269A">
        <w:t xml:space="preserve"> (</w:t>
      </w:r>
      <w:r w:rsidR="00947A2E">
        <w:t>2</w:t>
      </w:r>
      <w:r w:rsidR="00285889">
        <w:t>6.8</w:t>
      </w:r>
      <w:r w:rsidR="00FD269A">
        <w:t xml:space="preserve">%) of the respondents say that the most important reason for coming to UF is that the “Cost is less expensive than a private dentist.”  </w:t>
      </w:r>
      <w:r>
        <w:t>About one-</w:t>
      </w:r>
      <w:r w:rsidR="00947A2E">
        <w:t>quarter</w:t>
      </w:r>
      <w:r>
        <w:t xml:space="preserve"> (2</w:t>
      </w:r>
      <w:r w:rsidR="00285889">
        <w:t>5.4</w:t>
      </w:r>
      <w:r w:rsidR="00FD269A">
        <w:t xml:space="preserve">%) of the respondents indicate that they “trust the UF College of Dentistry,” and </w:t>
      </w:r>
      <w:r w:rsidR="00947A2E">
        <w:t>about</w:t>
      </w:r>
      <w:r w:rsidR="00FD269A">
        <w:t xml:space="preserve"> one-tenth (</w:t>
      </w:r>
      <w:r w:rsidR="00285889">
        <w:t>9.4</w:t>
      </w:r>
      <w:r w:rsidR="00FD269A">
        <w:t xml:space="preserve">%) say </w:t>
      </w:r>
      <w:r w:rsidR="009F3B44">
        <w:t>they come “For the excellent quality of the work.”  More than one-</w:t>
      </w:r>
      <w:r w:rsidR="00947A2E">
        <w:t>sixth</w:t>
      </w:r>
      <w:r w:rsidR="009F3B44">
        <w:t xml:space="preserve"> (1</w:t>
      </w:r>
      <w:r w:rsidR="00285889">
        <w:t>6.9</w:t>
      </w:r>
      <w:r w:rsidR="009F3B44">
        <w:t>%) of the surveyed patients indicate that their most important reason for coming to the UF College of Dentistry is a referral.  About five percent of the patients cite the being enrolled in the Medicaid Insurance Program (</w:t>
      </w:r>
      <w:r>
        <w:t>5</w:t>
      </w:r>
      <w:r w:rsidR="00285889">
        <w:t>.2</w:t>
      </w:r>
      <w:r w:rsidR="009F3B44">
        <w:t>%).</w:t>
      </w:r>
    </w:p>
    <w:p w:rsidR="00087656" w:rsidRDefault="00087656" w:rsidP="00FD269A">
      <w:pPr>
        <w:pStyle w:val="NoSpacing"/>
      </w:pPr>
    </w:p>
    <w:p w:rsidR="00087656" w:rsidRDefault="00087656" w:rsidP="00FD269A">
      <w:pPr>
        <w:pStyle w:val="NoSpacing"/>
      </w:pPr>
      <w:r>
        <w:t xml:space="preserve">Respondents were more likely to cite </w:t>
      </w:r>
      <w:r w:rsidR="00947A2E">
        <w:t>trust or a referral</w:t>
      </w:r>
      <w:r>
        <w:t xml:space="preserve"> as their most important reason for coming to the UF College of Dentistry in 201</w:t>
      </w:r>
      <w:r w:rsidR="00947A2E">
        <w:t>3 than they were in 2012</w:t>
      </w:r>
      <w:r>
        <w:t>.</w:t>
      </w:r>
    </w:p>
    <w:p w:rsidR="00FD269A" w:rsidRDefault="00FD269A" w:rsidP="00525D03">
      <w:pPr>
        <w:pStyle w:val="NoSpacing"/>
        <w:jc w:val="center"/>
      </w:pPr>
    </w:p>
    <w:p w:rsidR="00FD269A" w:rsidRDefault="00FD269A">
      <w:pPr>
        <w:spacing w:after="200" w:line="276" w:lineRule="auto"/>
      </w:pPr>
      <w:r>
        <w:br w:type="page"/>
      </w:r>
    </w:p>
    <w:p w:rsidR="0056277A" w:rsidRDefault="0056277A" w:rsidP="00525D03">
      <w:pPr>
        <w:pStyle w:val="NoSpacing"/>
        <w:jc w:val="center"/>
      </w:pPr>
      <w:r>
        <w:lastRenderedPageBreak/>
        <w:t>Patients were asked: “</w:t>
      </w:r>
      <w:r w:rsidRPr="00525D03">
        <w:rPr>
          <w:i/>
        </w:rPr>
        <w:t>Why do you come to the UF College of Dentistry for your dental care?</w:t>
      </w:r>
      <w:r>
        <w:t xml:space="preserve">” </w:t>
      </w:r>
    </w:p>
    <w:p w:rsidR="00FD269A" w:rsidRDefault="00FD269A" w:rsidP="00525D03">
      <w:pPr>
        <w:pStyle w:val="NoSpacing"/>
        <w:jc w:val="center"/>
      </w:pPr>
      <w:r>
        <w:t>(Respondents were asked to choose all applicable answers.)</w:t>
      </w:r>
    </w:p>
    <w:p w:rsidR="0056277A" w:rsidRDefault="0056277A" w:rsidP="0056277A">
      <w:pPr>
        <w:pStyle w:val="NoSpacing"/>
      </w:pPr>
    </w:p>
    <w:p w:rsidR="0056277A" w:rsidRDefault="0056277A" w:rsidP="0056277A">
      <w:pPr>
        <w:pStyle w:val="NoSpacing"/>
        <w:jc w:val="center"/>
      </w:pPr>
      <w:r w:rsidRPr="0056277A">
        <w:rPr>
          <w:noProof/>
        </w:rPr>
        <w:drawing>
          <wp:inline distT="0" distB="0" distL="0" distR="0" wp14:anchorId="3E13DBFA" wp14:editId="1AEAD1E0">
            <wp:extent cx="5486400" cy="3200400"/>
            <wp:effectExtent l="19050" t="0" r="1905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05084" w:rsidRDefault="00705084" w:rsidP="00705084">
      <w:pPr>
        <w:pStyle w:val="NoSpacing"/>
      </w:pPr>
    </w:p>
    <w:p w:rsidR="00F2530F" w:rsidRDefault="00F2530F" w:rsidP="00F2530F">
      <w:r>
        <w:t>On average, from 2007 to</w:t>
      </w:r>
      <w:r w:rsidR="0031685D">
        <w:t xml:space="preserve"> </w:t>
      </w:r>
      <w:r>
        <w:t>2010, about three-fifths of the respondents indicate that they come to the UF College of Dentistry for their dental care because of the “Quality of Care”</w:t>
      </w:r>
      <w:r w:rsidR="00473558">
        <w:t>;</w:t>
      </w:r>
      <w:r>
        <w:t xml:space="preserve"> because they “Trust UF”</w:t>
      </w:r>
      <w:r w:rsidR="00473558">
        <w:t xml:space="preserve">; or, </w:t>
      </w:r>
      <w:r>
        <w:t xml:space="preserve">  because of the “Cost” of the services.</w:t>
      </w:r>
      <w:r w:rsidR="00473558">
        <w:t xml:space="preserve"> </w:t>
      </w:r>
      <w:r>
        <w:t xml:space="preserve"> The respondents were much less likely to come to the UF College of Dentistry because of “Convenience.”  </w:t>
      </w:r>
      <w:r w:rsidR="00473558">
        <w:t>On average, o</w:t>
      </w:r>
      <w:r>
        <w:t xml:space="preserve">nly </w:t>
      </w:r>
      <w:r w:rsidR="00473558">
        <w:t xml:space="preserve">about </w:t>
      </w:r>
      <w:r>
        <w:t>one-</w:t>
      </w:r>
      <w:r w:rsidR="00473558">
        <w:t>fifth</w:t>
      </w:r>
      <w:r>
        <w:t xml:space="preserve"> of the respondents </w:t>
      </w:r>
      <w:r w:rsidR="00473558">
        <w:t>indicate</w:t>
      </w:r>
      <w:r>
        <w:t xml:space="preserve"> that they c</w:t>
      </w:r>
      <w:r w:rsidR="00473558">
        <w:t>o</w:t>
      </w:r>
      <w:r>
        <w:t xml:space="preserve">me </w:t>
      </w:r>
      <w:r w:rsidR="00473558">
        <w:t xml:space="preserve">to </w:t>
      </w:r>
      <w:r>
        <w:t xml:space="preserve">UF for dental services because of </w:t>
      </w:r>
      <w:r w:rsidR="00473558">
        <w:t>the c</w:t>
      </w:r>
      <w:r>
        <w:t>onvenience.</w:t>
      </w:r>
    </w:p>
    <w:p w:rsidR="00FD67E6" w:rsidRDefault="00FD67E6">
      <w:pPr>
        <w:spacing w:after="200" w:line="276" w:lineRule="auto"/>
        <w:rPr>
          <w:rFonts w:asciiTheme="majorHAnsi" w:eastAsiaTheme="majorEastAsia" w:hAnsiTheme="majorHAnsi" w:cstheme="majorBidi"/>
          <w:b/>
          <w:bCs/>
          <w:color w:val="4F81BD" w:themeColor="accent1"/>
          <w:sz w:val="26"/>
          <w:szCs w:val="26"/>
        </w:rPr>
      </w:pPr>
    </w:p>
    <w:p w:rsidR="00F2530F" w:rsidRDefault="00F2530F">
      <w:pPr>
        <w:spacing w:after="200" w:line="276" w:lineRule="auto"/>
        <w:rPr>
          <w:rFonts w:asciiTheme="majorHAnsi" w:eastAsiaTheme="majorEastAsia" w:hAnsiTheme="majorHAnsi" w:cstheme="majorBidi"/>
          <w:b/>
          <w:bCs/>
          <w:color w:val="365F91" w:themeColor="accent1" w:themeShade="BF"/>
          <w:sz w:val="28"/>
          <w:szCs w:val="28"/>
        </w:rPr>
      </w:pPr>
      <w:r>
        <w:br w:type="page"/>
      </w:r>
    </w:p>
    <w:p w:rsidR="00FD67E6" w:rsidRDefault="00FD67E6" w:rsidP="00FD67E6">
      <w:pPr>
        <w:pStyle w:val="Heading1"/>
      </w:pPr>
      <w:bookmarkStart w:id="17" w:name="_Toc383680497"/>
      <w:r>
        <w:lastRenderedPageBreak/>
        <w:t>Patient Services</w:t>
      </w:r>
      <w:bookmarkEnd w:id="17"/>
    </w:p>
    <w:p w:rsidR="00705084" w:rsidRDefault="00FD67E6" w:rsidP="00FD67E6">
      <w:pPr>
        <w:pStyle w:val="Heading2"/>
      </w:pPr>
      <w:bookmarkStart w:id="18" w:name="_Toc383680498"/>
      <w:r>
        <w:t>Length of Time to First Appointment (2010</w:t>
      </w:r>
      <w:r w:rsidR="008F326F">
        <w:t>-</w:t>
      </w:r>
      <w:r w:rsidR="00DB0943">
        <w:t>201</w:t>
      </w:r>
      <w:r w:rsidR="0063288A">
        <w:t>3</w:t>
      </w:r>
      <w:r>
        <w:t>)</w:t>
      </w:r>
      <w:bookmarkEnd w:id="18"/>
    </w:p>
    <w:p w:rsidR="00FD67E6" w:rsidRDefault="00FD67E6" w:rsidP="00FD67E6"/>
    <w:p w:rsidR="00FD67E6" w:rsidRPr="00FD67E6" w:rsidRDefault="00FD67E6" w:rsidP="00FD67E6">
      <w:pPr>
        <w:pStyle w:val="NoSpacing"/>
        <w:jc w:val="center"/>
      </w:pPr>
      <w:r>
        <w:t>Patients were asked: “</w:t>
      </w:r>
      <w:r w:rsidRPr="00FD67E6">
        <w:rPr>
          <w:i/>
        </w:rPr>
        <w:t>How long after initial contact, did it take to get your first appointment with the dental clinic?</w:t>
      </w:r>
      <w:r>
        <w:t>”</w:t>
      </w:r>
    </w:p>
    <w:p w:rsidR="00FD67E6" w:rsidRDefault="00FD67E6" w:rsidP="00705084">
      <w:pPr>
        <w:pStyle w:val="NoSpacing"/>
      </w:pPr>
    </w:p>
    <w:p w:rsidR="00FD67E6" w:rsidRDefault="00FD67E6" w:rsidP="00FD67E6">
      <w:pPr>
        <w:pStyle w:val="NoSpacing"/>
        <w:jc w:val="center"/>
      </w:pPr>
      <w:r w:rsidRPr="00FD67E6">
        <w:rPr>
          <w:noProof/>
        </w:rPr>
        <w:drawing>
          <wp:inline distT="0" distB="0" distL="0" distR="0" wp14:anchorId="3D823FDD" wp14:editId="48D8D1AF">
            <wp:extent cx="5486400" cy="3200400"/>
            <wp:effectExtent l="0" t="0" r="19050" b="19050"/>
            <wp:docPr id="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D67E6" w:rsidRDefault="00FD67E6" w:rsidP="00705084">
      <w:pPr>
        <w:pStyle w:val="NoSpacing"/>
      </w:pPr>
    </w:p>
    <w:p w:rsidR="00215D01" w:rsidRDefault="00215D01" w:rsidP="00215D01">
      <w:r>
        <w:t>In 201</w:t>
      </w:r>
      <w:r w:rsidR="00425A89">
        <w:t>3</w:t>
      </w:r>
      <w:r w:rsidR="00DB0943">
        <w:t xml:space="preserve">, </w:t>
      </w:r>
      <w:r w:rsidR="000A50B7">
        <w:t>about</w:t>
      </w:r>
      <w:r w:rsidR="00425A89">
        <w:t xml:space="preserve"> two-fifths</w:t>
      </w:r>
      <w:r w:rsidR="00DB0943">
        <w:t xml:space="preserve"> (</w:t>
      </w:r>
      <w:r w:rsidR="000A50B7">
        <w:t>40.2</w:t>
      </w:r>
      <w:r>
        <w:t xml:space="preserve">%) of the respondents indicate that they waited less </w:t>
      </w:r>
      <w:r w:rsidR="00E859E4">
        <w:t>than</w:t>
      </w:r>
      <w:r>
        <w:t xml:space="preserve"> two weeks from their initial contact until their first appointment</w:t>
      </w:r>
      <w:r w:rsidR="00DB0943">
        <w:t xml:space="preserve">, and a similar percentage </w:t>
      </w:r>
      <w:r>
        <w:t>(3</w:t>
      </w:r>
      <w:r w:rsidR="000A50B7">
        <w:t>6.9</w:t>
      </w:r>
      <w:r>
        <w:t xml:space="preserve">%) waited from two to four weeks for their first appointment. </w:t>
      </w:r>
      <w:r w:rsidR="00E859E4">
        <w:t xml:space="preserve"> </w:t>
      </w:r>
      <w:r>
        <w:t xml:space="preserve">In contrast, </w:t>
      </w:r>
      <w:r w:rsidR="008F326F">
        <w:t>about one-</w:t>
      </w:r>
      <w:r w:rsidR="000A50B7">
        <w:t>sixth</w:t>
      </w:r>
      <w:r w:rsidR="008F326F">
        <w:t xml:space="preserve"> (1</w:t>
      </w:r>
      <w:r w:rsidR="000A50B7">
        <w:t>7.6</w:t>
      </w:r>
      <w:r w:rsidR="00DB0943">
        <w:t xml:space="preserve">%) of the surveyed patients waited four to eight weeks and </w:t>
      </w:r>
      <w:r w:rsidR="00425A89">
        <w:t xml:space="preserve">only about </w:t>
      </w:r>
      <w:r w:rsidR="000A50B7">
        <w:t>five</w:t>
      </w:r>
      <w:r w:rsidR="00425A89">
        <w:t xml:space="preserve"> percent</w:t>
      </w:r>
      <w:r>
        <w:t xml:space="preserve"> of the respondents waited for more than eight weeks before they had their first appointment.</w:t>
      </w:r>
    </w:p>
    <w:p w:rsidR="00FD67E6" w:rsidRDefault="00FD67E6" w:rsidP="00705084">
      <w:pPr>
        <w:pStyle w:val="NoSpacing"/>
      </w:pPr>
    </w:p>
    <w:p w:rsidR="00FD67E6" w:rsidRDefault="00FD67E6">
      <w:pPr>
        <w:spacing w:after="200" w:line="276" w:lineRule="auto"/>
      </w:pPr>
      <w:r>
        <w:br w:type="page"/>
      </w:r>
    </w:p>
    <w:p w:rsidR="00FD67E6" w:rsidRDefault="00FD67E6" w:rsidP="00FD67E6">
      <w:pPr>
        <w:pStyle w:val="Heading2"/>
      </w:pPr>
      <w:bookmarkStart w:id="19" w:name="_Toc383680499"/>
      <w:r>
        <w:lastRenderedPageBreak/>
        <w:t xml:space="preserve">Time </w:t>
      </w:r>
      <w:r w:rsidR="00DB0943">
        <w:t xml:space="preserve">Well-Spent at Clinic </w:t>
      </w:r>
      <w:r>
        <w:t>(2010</w:t>
      </w:r>
      <w:r w:rsidR="001D1DD6">
        <w:t>-</w:t>
      </w:r>
      <w:r w:rsidR="00DB0943">
        <w:t>201</w:t>
      </w:r>
      <w:r w:rsidR="00336F8B">
        <w:t>3</w:t>
      </w:r>
      <w:r>
        <w:t>)</w:t>
      </w:r>
      <w:bookmarkEnd w:id="19"/>
    </w:p>
    <w:p w:rsidR="00FD67E6" w:rsidRDefault="00FD67E6" w:rsidP="00FD67E6"/>
    <w:p w:rsidR="00FD67E6" w:rsidRPr="005F03BC" w:rsidRDefault="00FD67E6" w:rsidP="005F03BC">
      <w:pPr>
        <w:pStyle w:val="NoSpacing"/>
        <w:jc w:val="center"/>
        <w:rPr>
          <w:i/>
        </w:rPr>
      </w:pPr>
      <w:r>
        <w:t>Patients were next asked:</w:t>
      </w:r>
      <w:r w:rsidR="00F9250C">
        <w:t xml:space="preserve"> </w:t>
      </w:r>
      <w:r w:rsidRPr="005F03BC">
        <w:rPr>
          <w:i/>
        </w:rPr>
        <w:t>“Do you feel your time is being well spent with our dental clinic?”</w:t>
      </w:r>
    </w:p>
    <w:p w:rsidR="00FD67E6" w:rsidRPr="005F03BC" w:rsidRDefault="00DB0943" w:rsidP="005F03BC">
      <w:pPr>
        <w:pStyle w:val="NoSpacing"/>
        <w:jc w:val="center"/>
        <w:rPr>
          <w:i/>
        </w:rPr>
      </w:pPr>
      <w:r w:rsidRPr="005F03BC">
        <w:rPr>
          <w:i/>
        </w:rPr>
        <w:t xml:space="preserve"> </w:t>
      </w:r>
    </w:p>
    <w:p w:rsidR="00FD67E6" w:rsidRDefault="00DB0943" w:rsidP="00DB0943">
      <w:pPr>
        <w:pStyle w:val="NoSpacing"/>
        <w:jc w:val="center"/>
      </w:pPr>
      <w:r w:rsidRPr="00DB0943">
        <w:rPr>
          <w:noProof/>
        </w:rPr>
        <w:drawing>
          <wp:inline distT="0" distB="0" distL="0" distR="0" wp14:anchorId="40F0FC98" wp14:editId="78171AC6">
            <wp:extent cx="5486400" cy="3200400"/>
            <wp:effectExtent l="0" t="0" r="19050" b="19050"/>
            <wp:docPr id="2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D67E6" w:rsidRDefault="00FD67E6" w:rsidP="005F03BC">
      <w:pPr>
        <w:pStyle w:val="NoSpacing"/>
        <w:jc w:val="center"/>
      </w:pPr>
    </w:p>
    <w:p w:rsidR="00E859E4" w:rsidRDefault="00E859E4" w:rsidP="00E859E4">
      <w:r>
        <w:t xml:space="preserve">Almost all of the respondents </w:t>
      </w:r>
      <w:r w:rsidR="00F9250C">
        <w:t xml:space="preserve">in </w:t>
      </w:r>
      <w:r w:rsidR="001D1DD6">
        <w:t xml:space="preserve">each year – </w:t>
      </w:r>
      <w:r w:rsidR="00336F8B">
        <w:t xml:space="preserve">2013 (98.6%), </w:t>
      </w:r>
      <w:r w:rsidR="001D1DD6">
        <w:t>2012 (98.6%),</w:t>
      </w:r>
      <w:r w:rsidR="00F9250C">
        <w:t xml:space="preserve"> 2011 (98.6%)</w:t>
      </w:r>
      <w:r w:rsidR="001D1DD6">
        <w:t>,</w:t>
      </w:r>
      <w:r w:rsidR="00F9250C">
        <w:t xml:space="preserve"> and 2010 (99.4%)</w:t>
      </w:r>
      <w:r w:rsidR="001D1DD6">
        <w:t xml:space="preserve"> – indicate </w:t>
      </w:r>
      <w:r>
        <w:t xml:space="preserve">that they feel their time at the UF dental clinic </w:t>
      </w:r>
      <w:r w:rsidR="00F9250C">
        <w:t>is “well spent.”</w:t>
      </w:r>
    </w:p>
    <w:p w:rsidR="00F9250C" w:rsidRDefault="00F9250C">
      <w:pPr>
        <w:spacing w:after="200" w:line="276" w:lineRule="auto"/>
      </w:pPr>
    </w:p>
    <w:p w:rsidR="00F9250C" w:rsidRDefault="00F9250C">
      <w:pPr>
        <w:spacing w:after="200" w:line="276" w:lineRule="auto"/>
        <w:rPr>
          <w:rFonts w:asciiTheme="majorHAnsi" w:eastAsiaTheme="majorEastAsia" w:hAnsiTheme="majorHAnsi" w:cstheme="majorBidi"/>
          <w:b/>
          <w:bCs/>
          <w:color w:val="4F81BD" w:themeColor="accent1"/>
          <w:sz w:val="26"/>
          <w:szCs w:val="26"/>
        </w:rPr>
      </w:pPr>
      <w:r>
        <w:br w:type="page"/>
      </w:r>
    </w:p>
    <w:p w:rsidR="00F9250C" w:rsidRDefault="00F9250C" w:rsidP="00F9250C">
      <w:pPr>
        <w:pStyle w:val="Heading2"/>
      </w:pPr>
      <w:bookmarkStart w:id="20" w:name="_Toc383680500"/>
      <w:r>
        <w:lastRenderedPageBreak/>
        <w:t>Directions for Finding the Clinic (2010</w:t>
      </w:r>
      <w:r w:rsidR="001B4B76">
        <w:t>-</w:t>
      </w:r>
      <w:r>
        <w:t>201</w:t>
      </w:r>
      <w:r w:rsidR="000218EF">
        <w:t>3</w:t>
      </w:r>
      <w:r>
        <w:t>)</w:t>
      </w:r>
      <w:bookmarkEnd w:id="20"/>
    </w:p>
    <w:p w:rsidR="00F9250C" w:rsidRDefault="00F9250C" w:rsidP="00F9250C"/>
    <w:p w:rsidR="00F9250C" w:rsidRDefault="00F9250C" w:rsidP="00F9250C">
      <w:pPr>
        <w:pStyle w:val="NoSpacing"/>
        <w:jc w:val="center"/>
        <w:rPr>
          <w:i/>
        </w:rPr>
      </w:pPr>
      <w:r>
        <w:t xml:space="preserve">Patients were next asked: </w:t>
      </w:r>
      <w:r>
        <w:rPr>
          <w:i/>
        </w:rPr>
        <w:t>“Were you given good directions for finding our clinic?”</w:t>
      </w:r>
    </w:p>
    <w:p w:rsidR="00F9250C" w:rsidRDefault="00F9250C" w:rsidP="00F9250C">
      <w:pPr>
        <w:pStyle w:val="NoSpacing"/>
        <w:jc w:val="center"/>
        <w:rPr>
          <w:i/>
        </w:rPr>
      </w:pPr>
    </w:p>
    <w:p w:rsidR="00F9250C" w:rsidRDefault="00F9250C" w:rsidP="00F9250C">
      <w:pPr>
        <w:pStyle w:val="NoSpacing"/>
        <w:jc w:val="center"/>
        <w:rPr>
          <w:i/>
        </w:rPr>
      </w:pPr>
      <w:r>
        <w:rPr>
          <w:i/>
        </w:rPr>
        <w:t xml:space="preserve"> </w:t>
      </w:r>
    </w:p>
    <w:p w:rsidR="00F9250C" w:rsidRDefault="00F9250C" w:rsidP="00F9250C">
      <w:pPr>
        <w:pStyle w:val="NoSpacing"/>
        <w:jc w:val="center"/>
      </w:pPr>
      <w:r>
        <w:rPr>
          <w:noProof/>
        </w:rPr>
        <w:drawing>
          <wp:inline distT="0" distB="0" distL="0" distR="0" wp14:anchorId="296B09AE" wp14:editId="0A5F1355">
            <wp:extent cx="5514975" cy="3219450"/>
            <wp:effectExtent l="0" t="0" r="9525" b="19050"/>
            <wp:docPr id="2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9250C" w:rsidRDefault="00F9250C" w:rsidP="00F9250C">
      <w:pPr>
        <w:pStyle w:val="NoSpacing"/>
        <w:jc w:val="center"/>
      </w:pPr>
    </w:p>
    <w:p w:rsidR="00F9250C" w:rsidRDefault="00F9250C" w:rsidP="00F9250C">
      <w:pPr>
        <w:pStyle w:val="NoSpacing"/>
      </w:pPr>
    </w:p>
    <w:p w:rsidR="001B4B76" w:rsidRDefault="001B4B76" w:rsidP="001B4B76">
      <w:r>
        <w:t xml:space="preserve">Almost all of the respondents in each year – </w:t>
      </w:r>
      <w:r w:rsidR="000218EF">
        <w:t xml:space="preserve">2013 (98.1%), </w:t>
      </w:r>
      <w:r>
        <w:t>2012 (98.3%), 2011 (97.7%), and 2010 (97.5%) –</w:t>
      </w:r>
      <w:r w:rsidRPr="001B4B76">
        <w:t xml:space="preserve"> </w:t>
      </w:r>
      <w:r>
        <w:t>indicate that they were given good directions to the clinic.</w:t>
      </w:r>
    </w:p>
    <w:p w:rsidR="00F9250C" w:rsidRDefault="00F9250C">
      <w:pPr>
        <w:spacing w:after="200" w:line="276" w:lineRule="auto"/>
        <w:rPr>
          <w:rFonts w:asciiTheme="majorHAnsi" w:eastAsiaTheme="majorEastAsia" w:hAnsiTheme="majorHAnsi" w:cstheme="majorBidi"/>
          <w:b/>
          <w:bCs/>
          <w:color w:val="4F81BD" w:themeColor="accent1"/>
          <w:sz w:val="26"/>
          <w:szCs w:val="26"/>
        </w:rPr>
      </w:pPr>
      <w:r>
        <w:br w:type="page"/>
      </w:r>
    </w:p>
    <w:p w:rsidR="00F9250C" w:rsidRDefault="00F9250C" w:rsidP="00F9250C">
      <w:pPr>
        <w:pStyle w:val="Heading2"/>
      </w:pPr>
      <w:bookmarkStart w:id="21" w:name="_Toc383680501"/>
      <w:r>
        <w:lastRenderedPageBreak/>
        <w:t>Information for Finding Patient Registration (2010</w:t>
      </w:r>
      <w:r w:rsidR="0068132B">
        <w:t>-</w:t>
      </w:r>
      <w:r>
        <w:t>201</w:t>
      </w:r>
      <w:r w:rsidR="00DA7150">
        <w:t>3</w:t>
      </w:r>
      <w:r>
        <w:t>)</w:t>
      </w:r>
      <w:bookmarkEnd w:id="21"/>
    </w:p>
    <w:p w:rsidR="00F9250C" w:rsidRDefault="00F9250C" w:rsidP="00F9250C"/>
    <w:p w:rsidR="00F9250C" w:rsidRDefault="00F9250C" w:rsidP="00F9250C">
      <w:pPr>
        <w:pStyle w:val="NoSpacing"/>
        <w:jc w:val="center"/>
        <w:rPr>
          <w:i/>
        </w:rPr>
      </w:pPr>
      <w:r>
        <w:t xml:space="preserve">Patients were next asked: </w:t>
      </w:r>
      <w:r>
        <w:rPr>
          <w:i/>
        </w:rPr>
        <w:t>“Were you given good information for finding patient registration?”</w:t>
      </w:r>
    </w:p>
    <w:p w:rsidR="00F9250C" w:rsidRDefault="00F9250C" w:rsidP="00F9250C">
      <w:pPr>
        <w:pStyle w:val="NoSpacing"/>
        <w:jc w:val="center"/>
        <w:rPr>
          <w:i/>
        </w:rPr>
      </w:pPr>
      <w:r>
        <w:rPr>
          <w:i/>
        </w:rPr>
        <w:t xml:space="preserve"> </w:t>
      </w:r>
    </w:p>
    <w:p w:rsidR="00F9250C" w:rsidRDefault="00F9250C" w:rsidP="00F9250C">
      <w:pPr>
        <w:pStyle w:val="NoSpacing"/>
        <w:jc w:val="center"/>
      </w:pPr>
      <w:r>
        <w:rPr>
          <w:noProof/>
        </w:rPr>
        <w:drawing>
          <wp:inline distT="0" distB="0" distL="0" distR="0" wp14:anchorId="7C75636A" wp14:editId="3E73DAE9">
            <wp:extent cx="5514975" cy="3219450"/>
            <wp:effectExtent l="0" t="0" r="9525" b="19050"/>
            <wp:docPr id="2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9250C" w:rsidRDefault="00F9250C" w:rsidP="00F9250C">
      <w:pPr>
        <w:pStyle w:val="NoSpacing"/>
        <w:jc w:val="center"/>
      </w:pPr>
    </w:p>
    <w:p w:rsidR="00F9250C" w:rsidRDefault="00F9250C" w:rsidP="00F9250C">
      <w:pPr>
        <w:pStyle w:val="NoSpacing"/>
      </w:pPr>
    </w:p>
    <w:p w:rsidR="0068132B" w:rsidRDefault="0068132B" w:rsidP="0068132B">
      <w:r>
        <w:t xml:space="preserve">Almost all of the respondents in each year – </w:t>
      </w:r>
      <w:r w:rsidR="000A50B7">
        <w:t>2013 (98.2</w:t>
      </w:r>
      <w:r w:rsidR="00DA7150">
        <w:t xml:space="preserve">%), </w:t>
      </w:r>
      <w:r>
        <w:t>2012 (98.1%), 2011 (98.5%), and 2010 (98.1%) – indicate that they were given good information for finding patient registration.</w:t>
      </w:r>
    </w:p>
    <w:p w:rsidR="0068132B" w:rsidRDefault="0068132B" w:rsidP="0068132B">
      <w:pPr>
        <w:pStyle w:val="NoSpacing"/>
      </w:pPr>
    </w:p>
    <w:p w:rsidR="0068132B" w:rsidRDefault="0068132B">
      <w:pPr>
        <w:spacing w:after="200" w:line="276" w:lineRule="auto"/>
      </w:pPr>
      <w:r>
        <w:br w:type="page"/>
      </w:r>
    </w:p>
    <w:p w:rsidR="0068132B" w:rsidRDefault="0068132B" w:rsidP="0068132B">
      <w:pPr>
        <w:pStyle w:val="Heading2"/>
      </w:pPr>
      <w:bookmarkStart w:id="22" w:name="_Toc383680502"/>
      <w:r>
        <w:lastRenderedPageBreak/>
        <w:t>Signs for Patient Registration (2012</w:t>
      </w:r>
      <w:r w:rsidR="003A77F2">
        <w:t>-2013</w:t>
      </w:r>
      <w:r>
        <w:t>)</w:t>
      </w:r>
      <w:bookmarkEnd w:id="22"/>
    </w:p>
    <w:p w:rsidR="0068132B" w:rsidRDefault="0068132B" w:rsidP="0068132B"/>
    <w:p w:rsidR="0068132B" w:rsidRDefault="0068132B" w:rsidP="0068132B">
      <w:pPr>
        <w:pStyle w:val="NoSpacing"/>
        <w:jc w:val="center"/>
        <w:rPr>
          <w:i/>
        </w:rPr>
      </w:pPr>
      <w:r>
        <w:t xml:space="preserve">Patients were next asked: </w:t>
      </w:r>
      <w:r>
        <w:rPr>
          <w:i/>
        </w:rPr>
        <w:t>“Were the signs helpful to you for finding dental patient registration?”</w:t>
      </w:r>
    </w:p>
    <w:p w:rsidR="0068132B" w:rsidRDefault="0068132B" w:rsidP="0068132B">
      <w:pPr>
        <w:pStyle w:val="NoSpacing"/>
        <w:jc w:val="center"/>
        <w:rPr>
          <w:i/>
        </w:rPr>
      </w:pPr>
      <w:r>
        <w:rPr>
          <w:i/>
        </w:rPr>
        <w:t xml:space="preserve"> </w:t>
      </w:r>
    </w:p>
    <w:p w:rsidR="0068132B" w:rsidRDefault="0068132B" w:rsidP="0068132B">
      <w:pPr>
        <w:pStyle w:val="NoSpacing"/>
        <w:jc w:val="center"/>
      </w:pPr>
      <w:r>
        <w:rPr>
          <w:noProof/>
        </w:rPr>
        <w:drawing>
          <wp:inline distT="0" distB="0" distL="0" distR="0" wp14:anchorId="7DA1EACB" wp14:editId="47B958E5">
            <wp:extent cx="5514975" cy="3219450"/>
            <wp:effectExtent l="0" t="0" r="9525" b="19050"/>
            <wp:docPr id="3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8132B" w:rsidRDefault="0068132B" w:rsidP="0068132B">
      <w:pPr>
        <w:pStyle w:val="NoSpacing"/>
        <w:jc w:val="center"/>
      </w:pPr>
    </w:p>
    <w:p w:rsidR="0068132B" w:rsidRDefault="0068132B" w:rsidP="0068132B">
      <w:pPr>
        <w:pStyle w:val="NoSpacing"/>
      </w:pPr>
    </w:p>
    <w:p w:rsidR="0068132B" w:rsidRDefault="0068132B" w:rsidP="0068132B">
      <w:r>
        <w:t xml:space="preserve">Almost all of the respondents </w:t>
      </w:r>
      <w:r w:rsidR="000A50B7">
        <w:t>in both 2013 (97.1</w:t>
      </w:r>
      <w:r w:rsidR="003A77F2">
        <w:t xml:space="preserve">%) and 2012 </w:t>
      </w:r>
      <w:r>
        <w:t>(96.9%) indicate that the signs were helpful for finding dental patient registration.</w:t>
      </w:r>
    </w:p>
    <w:p w:rsidR="0068132B" w:rsidRDefault="0068132B" w:rsidP="0068132B">
      <w:pPr>
        <w:pStyle w:val="NoSpacing"/>
      </w:pPr>
    </w:p>
    <w:p w:rsidR="002D1A68" w:rsidRDefault="002D1A68" w:rsidP="0068132B">
      <w:pPr>
        <w:pStyle w:val="NoSpacing"/>
      </w:pPr>
    </w:p>
    <w:p w:rsidR="002D1A68" w:rsidRDefault="002D1A68" w:rsidP="0068132B">
      <w:pPr>
        <w:pStyle w:val="NoSpacing"/>
      </w:pPr>
    </w:p>
    <w:p w:rsidR="002D1A68" w:rsidRDefault="002D1A68" w:rsidP="0068132B">
      <w:pPr>
        <w:pStyle w:val="NoSpacing"/>
      </w:pPr>
    </w:p>
    <w:p w:rsidR="002D1A68" w:rsidRDefault="002D1A68" w:rsidP="0068132B">
      <w:pPr>
        <w:pStyle w:val="NoSpacing"/>
      </w:pPr>
    </w:p>
    <w:p w:rsidR="002D1A68" w:rsidRDefault="002D1A68" w:rsidP="0068132B">
      <w:pPr>
        <w:pStyle w:val="NoSpacing"/>
      </w:pPr>
    </w:p>
    <w:p w:rsidR="002D1A68" w:rsidRDefault="002D1A68" w:rsidP="0068132B">
      <w:pPr>
        <w:pStyle w:val="NoSpacing"/>
      </w:pPr>
    </w:p>
    <w:p w:rsidR="002D1A68" w:rsidRDefault="002D1A68" w:rsidP="0068132B">
      <w:pPr>
        <w:pStyle w:val="NoSpacing"/>
      </w:pPr>
    </w:p>
    <w:p w:rsidR="002D1A68" w:rsidRDefault="002D1A68" w:rsidP="0068132B">
      <w:pPr>
        <w:pStyle w:val="NoSpacing"/>
      </w:pPr>
    </w:p>
    <w:p w:rsidR="002D1A68" w:rsidRDefault="002D1A68" w:rsidP="0068132B">
      <w:pPr>
        <w:pStyle w:val="NoSpacing"/>
      </w:pPr>
    </w:p>
    <w:p w:rsidR="002D1A68" w:rsidRDefault="002D1A68" w:rsidP="0068132B">
      <w:pPr>
        <w:pStyle w:val="NoSpacing"/>
      </w:pPr>
    </w:p>
    <w:p w:rsidR="002D1A68" w:rsidRDefault="002D1A68" w:rsidP="0068132B">
      <w:pPr>
        <w:pStyle w:val="NoSpacing"/>
      </w:pPr>
    </w:p>
    <w:p w:rsidR="002D1A68" w:rsidRDefault="002D1A68" w:rsidP="0068132B">
      <w:pPr>
        <w:pStyle w:val="NoSpacing"/>
      </w:pPr>
    </w:p>
    <w:p w:rsidR="002D1A68" w:rsidRDefault="002D1A68" w:rsidP="0068132B">
      <w:pPr>
        <w:pStyle w:val="NoSpacing"/>
      </w:pPr>
    </w:p>
    <w:p w:rsidR="002D1A68" w:rsidRDefault="002D1A68" w:rsidP="0068132B">
      <w:pPr>
        <w:pStyle w:val="NoSpacing"/>
      </w:pPr>
    </w:p>
    <w:p w:rsidR="002D1A68" w:rsidRDefault="002D1A68" w:rsidP="0068132B">
      <w:pPr>
        <w:pStyle w:val="NoSpacing"/>
      </w:pPr>
    </w:p>
    <w:p w:rsidR="002D1A68" w:rsidRDefault="002D1A68" w:rsidP="0068132B">
      <w:pPr>
        <w:pStyle w:val="NoSpacing"/>
      </w:pPr>
    </w:p>
    <w:p w:rsidR="002D1A68" w:rsidRPr="00E72656" w:rsidRDefault="002D1A68" w:rsidP="002D1A68">
      <w:pPr>
        <w:rPr>
          <w:sz w:val="20"/>
          <w:szCs w:val="20"/>
        </w:rPr>
      </w:pPr>
      <w:r w:rsidRPr="00E72656">
        <w:rPr>
          <w:sz w:val="20"/>
          <w:szCs w:val="20"/>
        </w:rPr>
        <w:t>*Notes:</w:t>
      </w:r>
    </w:p>
    <w:p w:rsidR="002D1A68" w:rsidRPr="00E72656" w:rsidRDefault="002D1A68" w:rsidP="002D1A68">
      <w:pPr>
        <w:pStyle w:val="ListParagraph"/>
        <w:numPr>
          <w:ilvl w:val="0"/>
          <w:numId w:val="1"/>
        </w:numPr>
        <w:rPr>
          <w:sz w:val="20"/>
          <w:szCs w:val="20"/>
        </w:rPr>
      </w:pPr>
      <w:r>
        <w:rPr>
          <w:sz w:val="20"/>
          <w:szCs w:val="20"/>
        </w:rPr>
        <w:t>This question was added in 2012.</w:t>
      </w:r>
    </w:p>
    <w:p w:rsidR="002D1A68" w:rsidRPr="0068132B" w:rsidRDefault="002D1A68" w:rsidP="0068132B">
      <w:pPr>
        <w:pStyle w:val="NoSpacing"/>
      </w:pPr>
    </w:p>
    <w:p w:rsidR="00F9250C" w:rsidRDefault="00F9250C" w:rsidP="00F9250C">
      <w:r>
        <w:br w:type="page"/>
      </w:r>
    </w:p>
    <w:p w:rsidR="005F03BC" w:rsidRDefault="005F03BC" w:rsidP="005F03BC">
      <w:pPr>
        <w:pStyle w:val="Heading2"/>
      </w:pPr>
      <w:bookmarkStart w:id="23" w:name="_Toc383680503"/>
      <w:r>
        <w:lastRenderedPageBreak/>
        <w:t>Appearance of Re</w:t>
      </w:r>
      <w:r w:rsidR="009C672B">
        <w:t xml:space="preserve">ception Area </w:t>
      </w:r>
      <w:r>
        <w:t>(2010</w:t>
      </w:r>
      <w:r w:rsidR="00BA4643">
        <w:t>-</w:t>
      </w:r>
      <w:r w:rsidR="0084688A">
        <w:t>201</w:t>
      </w:r>
      <w:r w:rsidR="00DD3607">
        <w:t>3</w:t>
      </w:r>
      <w:r>
        <w:t>)</w:t>
      </w:r>
      <w:bookmarkEnd w:id="23"/>
    </w:p>
    <w:p w:rsidR="005F03BC" w:rsidRDefault="005F03BC" w:rsidP="005F03BC">
      <w:pPr>
        <w:pStyle w:val="NoSpacing"/>
      </w:pPr>
    </w:p>
    <w:p w:rsidR="005F03BC" w:rsidRDefault="005F03BC" w:rsidP="005F03BC">
      <w:pPr>
        <w:pStyle w:val="NoSpacing"/>
        <w:jc w:val="center"/>
      </w:pPr>
      <w:r>
        <w:t>Patients were asked: “</w:t>
      </w:r>
      <w:r w:rsidRPr="005F03BC">
        <w:rPr>
          <w:i/>
        </w:rPr>
        <w:t>How would you rate the appearan</w:t>
      </w:r>
      <w:r w:rsidR="009C672B">
        <w:rPr>
          <w:i/>
        </w:rPr>
        <w:t>ce of our patient reception area</w:t>
      </w:r>
      <w:r w:rsidRPr="005F03BC">
        <w:rPr>
          <w:i/>
        </w:rPr>
        <w:t>?</w:t>
      </w:r>
      <w:r>
        <w:t>”</w:t>
      </w:r>
      <w:r w:rsidR="00BA4643">
        <w:t>*</w:t>
      </w:r>
    </w:p>
    <w:p w:rsidR="005F03BC" w:rsidRDefault="005F03BC" w:rsidP="005F03BC">
      <w:pPr>
        <w:pStyle w:val="NoSpacing"/>
      </w:pPr>
    </w:p>
    <w:p w:rsidR="005F03BC" w:rsidRDefault="005F03BC" w:rsidP="005F03BC">
      <w:pPr>
        <w:pStyle w:val="NoSpacing"/>
        <w:jc w:val="center"/>
      </w:pPr>
      <w:r w:rsidRPr="005F03BC">
        <w:rPr>
          <w:noProof/>
        </w:rPr>
        <w:drawing>
          <wp:inline distT="0" distB="0" distL="0" distR="0" wp14:anchorId="2C94194B" wp14:editId="489B0C64">
            <wp:extent cx="5486400" cy="3200400"/>
            <wp:effectExtent l="0" t="0" r="19050" b="19050"/>
            <wp:docPr id="1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F03BC" w:rsidRDefault="005F03BC" w:rsidP="005F03BC">
      <w:pPr>
        <w:pStyle w:val="NoSpacing"/>
      </w:pPr>
    </w:p>
    <w:p w:rsidR="00E859E4" w:rsidRDefault="00BA4643" w:rsidP="00E859E4">
      <w:r>
        <w:t>In 201</w:t>
      </w:r>
      <w:r w:rsidR="00DD3607">
        <w:t>3</w:t>
      </w:r>
      <w:r>
        <w:t xml:space="preserve">, </w:t>
      </w:r>
      <w:r w:rsidR="00DD3607">
        <w:t>nearly</w:t>
      </w:r>
      <w:r>
        <w:t xml:space="preserve"> three-fifths (</w:t>
      </w:r>
      <w:r w:rsidR="000A50B7">
        <w:t>57.9</w:t>
      </w:r>
      <w:r>
        <w:t>%) of the respondents rated the appearance of the patient reception area as “Excellent,” while more than one-third (3</w:t>
      </w:r>
      <w:r w:rsidR="000A50B7">
        <w:t>5.0</w:t>
      </w:r>
      <w:r>
        <w:t xml:space="preserve">%) rated it as “Very Good.”  </w:t>
      </w:r>
      <w:r w:rsidR="00DD3607">
        <w:t>Six</w:t>
      </w:r>
      <w:r>
        <w:t xml:space="preserve"> percent of the respondents rated the appearance of the patient reception area as “Fair” and less than one percent rated it as “Poor.”</w:t>
      </w:r>
      <w:r w:rsidR="00E859E4">
        <w:t xml:space="preserve">  </w:t>
      </w:r>
    </w:p>
    <w:p w:rsidR="00E859E4" w:rsidRDefault="00E859E4" w:rsidP="00E859E4"/>
    <w:p w:rsidR="00BA4643" w:rsidRDefault="00520054" w:rsidP="00E859E4">
      <w:r>
        <w:t>In 201</w:t>
      </w:r>
      <w:r w:rsidR="00DD3607">
        <w:t>3</w:t>
      </w:r>
      <w:r>
        <w:t>, t</w:t>
      </w:r>
      <w:r w:rsidR="00981F24">
        <w:t xml:space="preserve">he average level of response on a scale where “Excellent” = </w:t>
      </w:r>
      <w:r w:rsidR="00BA4643">
        <w:t>4</w:t>
      </w:r>
      <w:r w:rsidR="00981F24">
        <w:t xml:space="preserve"> and “Poor” =</w:t>
      </w:r>
      <w:r w:rsidR="006523F2">
        <w:t xml:space="preserve"> </w:t>
      </w:r>
      <w:r>
        <w:t xml:space="preserve">1 is </w:t>
      </w:r>
      <w:r w:rsidR="00BA4643">
        <w:t>3.5</w:t>
      </w:r>
      <w:r w:rsidR="00DD3607">
        <w:t>0</w:t>
      </w:r>
      <w:r w:rsidR="00981F24">
        <w:t>.</w:t>
      </w:r>
    </w:p>
    <w:p w:rsidR="00BA4643" w:rsidRDefault="00BA4643" w:rsidP="00E859E4"/>
    <w:p w:rsidR="00BA4643" w:rsidRDefault="00BA4643" w:rsidP="00BA4643">
      <w:pPr>
        <w:rPr>
          <w:sz w:val="20"/>
          <w:szCs w:val="20"/>
        </w:rPr>
      </w:pPr>
    </w:p>
    <w:p w:rsidR="00BA4643" w:rsidRDefault="00BA4643" w:rsidP="00BA4643">
      <w:pPr>
        <w:rPr>
          <w:sz w:val="20"/>
          <w:szCs w:val="20"/>
        </w:rPr>
      </w:pPr>
    </w:p>
    <w:p w:rsidR="00BA4643" w:rsidRDefault="00BA4643" w:rsidP="00BA4643">
      <w:pPr>
        <w:pStyle w:val="NoSpacing"/>
      </w:pPr>
    </w:p>
    <w:p w:rsidR="00BA4643" w:rsidRDefault="00BA4643" w:rsidP="00BA4643">
      <w:pPr>
        <w:pStyle w:val="NoSpacing"/>
      </w:pPr>
    </w:p>
    <w:p w:rsidR="00BA4643" w:rsidRDefault="00BA4643" w:rsidP="00BA4643">
      <w:pPr>
        <w:pStyle w:val="NoSpacing"/>
      </w:pPr>
    </w:p>
    <w:p w:rsidR="00BA4643" w:rsidRDefault="00BA4643" w:rsidP="00BA4643">
      <w:pPr>
        <w:pStyle w:val="NoSpacing"/>
      </w:pPr>
    </w:p>
    <w:p w:rsidR="00BA4643" w:rsidRDefault="00BA4643" w:rsidP="00BA4643">
      <w:pPr>
        <w:pStyle w:val="NoSpacing"/>
      </w:pPr>
    </w:p>
    <w:p w:rsidR="00BA4643" w:rsidRDefault="00BA4643" w:rsidP="00BA4643">
      <w:pPr>
        <w:pStyle w:val="NoSpacing"/>
      </w:pPr>
    </w:p>
    <w:p w:rsidR="00BA4643" w:rsidRDefault="00BA4643" w:rsidP="00BA4643">
      <w:pPr>
        <w:pStyle w:val="NoSpacing"/>
      </w:pPr>
    </w:p>
    <w:p w:rsidR="00BA4643" w:rsidRPr="00BA4643" w:rsidRDefault="00BA4643" w:rsidP="00BA4643">
      <w:pPr>
        <w:pStyle w:val="NoSpacing"/>
      </w:pPr>
    </w:p>
    <w:p w:rsidR="00BA4643" w:rsidRDefault="00BA4643" w:rsidP="00BA4643">
      <w:pPr>
        <w:rPr>
          <w:sz w:val="20"/>
          <w:szCs w:val="20"/>
        </w:rPr>
      </w:pPr>
    </w:p>
    <w:p w:rsidR="00BA4643" w:rsidRPr="00E72656" w:rsidRDefault="00BA4643" w:rsidP="00BA4643">
      <w:pPr>
        <w:rPr>
          <w:sz w:val="20"/>
          <w:szCs w:val="20"/>
        </w:rPr>
      </w:pPr>
      <w:r w:rsidRPr="00E72656">
        <w:rPr>
          <w:sz w:val="20"/>
          <w:szCs w:val="20"/>
        </w:rPr>
        <w:t>*Notes:</w:t>
      </w:r>
    </w:p>
    <w:p w:rsidR="00BA4643" w:rsidRDefault="00BA4643" w:rsidP="00BA4643">
      <w:pPr>
        <w:pStyle w:val="ListParagraph"/>
        <w:numPr>
          <w:ilvl w:val="0"/>
          <w:numId w:val="1"/>
        </w:numPr>
        <w:rPr>
          <w:sz w:val="20"/>
          <w:szCs w:val="20"/>
        </w:rPr>
      </w:pPr>
      <w:r>
        <w:rPr>
          <w:sz w:val="20"/>
          <w:szCs w:val="20"/>
        </w:rPr>
        <w:t>Prior to 2012, the responses to this question were presented on a 5-point scale: Excellent, Very Good, Good, Fair, and Poor.  In 2012, the responses to this question were presented on a 4-point scale: Excellent, Very Good, Fair, and Poor.</w:t>
      </w:r>
    </w:p>
    <w:p w:rsidR="009C672B" w:rsidRPr="009C672B" w:rsidRDefault="009C672B" w:rsidP="00BA4643">
      <w:pPr>
        <w:pStyle w:val="ListParagraph"/>
        <w:numPr>
          <w:ilvl w:val="0"/>
          <w:numId w:val="1"/>
        </w:numPr>
        <w:rPr>
          <w:sz w:val="20"/>
          <w:szCs w:val="20"/>
        </w:rPr>
      </w:pPr>
      <w:r>
        <w:rPr>
          <w:sz w:val="20"/>
          <w:szCs w:val="20"/>
        </w:rPr>
        <w:t xml:space="preserve">Prior to 2012, this question asked: </w:t>
      </w:r>
      <w:r w:rsidRPr="009C672B">
        <w:rPr>
          <w:sz w:val="20"/>
          <w:szCs w:val="20"/>
        </w:rPr>
        <w:t>“</w:t>
      </w:r>
      <w:r w:rsidRPr="009C672B">
        <w:rPr>
          <w:i/>
          <w:sz w:val="20"/>
          <w:szCs w:val="20"/>
        </w:rPr>
        <w:t>How would you rate the appearance of our patient reception area</w:t>
      </w:r>
      <w:r>
        <w:rPr>
          <w:i/>
          <w:sz w:val="20"/>
          <w:szCs w:val="20"/>
        </w:rPr>
        <w:t xml:space="preserve"> and restrooms</w:t>
      </w:r>
      <w:r w:rsidRPr="009C672B">
        <w:rPr>
          <w:i/>
          <w:sz w:val="20"/>
          <w:szCs w:val="20"/>
        </w:rPr>
        <w:t>?</w:t>
      </w:r>
      <w:r w:rsidRPr="009C672B">
        <w:rPr>
          <w:sz w:val="20"/>
          <w:szCs w:val="20"/>
        </w:rPr>
        <w:t>”</w:t>
      </w:r>
      <w:r>
        <w:rPr>
          <w:sz w:val="20"/>
          <w:szCs w:val="20"/>
        </w:rPr>
        <w:t xml:space="preserve"> In 2012, there are separate questions about the reception area and restrooms.</w:t>
      </w:r>
    </w:p>
    <w:p w:rsidR="005F03BC" w:rsidRDefault="00981F24" w:rsidP="005F03BC">
      <w:pPr>
        <w:pStyle w:val="Heading2"/>
      </w:pPr>
      <w:bookmarkStart w:id="24" w:name="_Toc383680504"/>
      <w:r>
        <w:lastRenderedPageBreak/>
        <w:t>Cleanliness of Dental Clinics</w:t>
      </w:r>
      <w:r w:rsidR="005F03BC">
        <w:t xml:space="preserve"> (2010</w:t>
      </w:r>
      <w:r w:rsidR="00BA4643">
        <w:t>-</w:t>
      </w:r>
      <w:r w:rsidR="00022227">
        <w:t>201</w:t>
      </w:r>
      <w:r w:rsidR="00DD3607">
        <w:t>3</w:t>
      </w:r>
      <w:r w:rsidR="005F03BC">
        <w:t>)</w:t>
      </w:r>
      <w:bookmarkEnd w:id="24"/>
    </w:p>
    <w:p w:rsidR="005F03BC" w:rsidRDefault="005F03BC" w:rsidP="005F03BC">
      <w:pPr>
        <w:pStyle w:val="NoSpacing"/>
      </w:pPr>
    </w:p>
    <w:p w:rsidR="005F03BC" w:rsidRDefault="005F03BC" w:rsidP="00E859E4">
      <w:pPr>
        <w:pStyle w:val="NoSpacing"/>
        <w:jc w:val="center"/>
      </w:pPr>
      <w:r>
        <w:t>Patients were asked: “</w:t>
      </w:r>
      <w:r w:rsidRPr="005F03BC">
        <w:rPr>
          <w:i/>
        </w:rPr>
        <w:t xml:space="preserve">How would you rate the </w:t>
      </w:r>
      <w:r w:rsidR="00981F24">
        <w:rPr>
          <w:i/>
        </w:rPr>
        <w:t>cleanliness of the dental clinics</w:t>
      </w:r>
      <w:r w:rsidRPr="005F03BC">
        <w:rPr>
          <w:i/>
        </w:rPr>
        <w:t>?</w:t>
      </w:r>
      <w:r>
        <w:t>”</w:t>
      </w:r>
      <w:r w:rsidR="00BA4643">
        <w:t>*</w:t>
      </w:r>
    </w:p>
    <w:p w:rsidR="00E859E4" w:rsidRDefault="00E859E4" w:rsidP="00E859E4">
      <w:pPr>
        <w:pStyle w:val="NoSpacing"/>
        <w:jc w:val="center"/>
      </w:pPr>
    </w:p>
    <w:p w:rsidR="00E859E4" w:rsidRDefault="00E859E4" w:rsidP="00E859E4">
      <w:pPr>
        <w:pStyle w:val="NoSpacing"/>
        <w:jc w:val="center"/>
      </w:pPr>
    </w:p>
    <w:p w:rsidR="005F03BC" w:rsidRDefault="005F03BC" w:rsidP="005F03BC">
      <w:pPr>
        <w:pStyle w:val="NoSpacing"/>
        <w:jc w:val="center"/>
      </w:pPr>
      <w:r w:rsidRPr="005F03BC">
        <w:rPr>
          <w:noProof/>
        </w:rPr>
        <w:drawing>
          <wp:inline distT="0" distB="0" distL="0" distR="0" wp14:anchorId="7F37305E" wp14:editId="03477067">
            <wp:extent cx="5486400" cy="3200400"/>
            <wp:effectExtent l="0" t="0" r="19050" b="19050"/>
            <wp:docPr id="1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E7F1B" w:rsidRDefault="00DE7F1B" w:rsidP="00E859E4"/>
    <w:p w:rsidR="00E859E4" w:rsidRDefault="00BA4643" w:rsidP="00E859E4">
      <w:r>
        <w:t>More than t</w:t>
      </w:r>
      <w:r w:rsidR="00E859E4">
        <w:t xml:space="preserve">wo-thirds of the respondents </w:t>
      </w:r>
      <w:r w:rsidR="00022227">
        <w:t>in 201</w:t>
      </w:r>
      <w:r w:rsidR="00DD3607">
        <w:t>3</w:t>
      </w:r>
      <w:r w:rsidR="00022227">
        <w:t xml:space="preserve"> (</w:t>
      </w:r>
      <w:r w:rsidR="000A50B7">
        <w:t>70.9</w:t>
      </w:r>
      <w:r w:rsidR="00022227">
        <w:t xml:space="preserve">%) </w:t>
      </w:r>
      <w:r w:rsidR="00E859E4">
        <w:t>rate</w:t>
      </w:r>
      <w:r>
        <w:t>d</w:t>
      </w:r>
      <w:r w:rsidR="00E859E4">
        <w:t xml:space="preserve"> the cleanliness of the dental clinics as “Excellent,” and </w:t>
      </w:r>
      <w:r>
        <w:t>more than</w:t>
      </w:r>
      <w:r w:rsidR="00022227">
        <w:t xml:space="preserve"> </w:t>
      </w:r>
      <w:r w:rsidR="00E859E4">
        <w:t xml:space="preserve">one-quarter </w:t>
      </w:r>
      <w:r>
        <w:t>(</w:t>
      </w:r>
      <w:r w:rsidR="00022227">
        <w:t>2</w:t>
      </w:r>
      <w:r w:rsidR="000A50B7">
        <w:t>6.2</w:t>
      </w:r>
      <w:r w:rsidR="00022227">
        <w:t>%)</w:t>
      </w:r>
      <w:r w:rsidR="00E859E4">
        <w:t xml:space="preserve"> rate</w:t>
      </w:r>
      <w:r>
        <w:t>d</w:t>
      </w:r>
      <w:r w:rsidR="00E859E4">
        <w:t xml:space="preserve"> this aspect of the dental clinic as “Very Good.”  In contrast, </w:t>
      </w:r>
      <w:r>
        <w:t xml:space="preserve">about </w:t>
      </w:r>
      <w:r w:rsidR="00DD3607">
        <w:t>three</w:t>
      </w:r>
      <w:r>
        <w:t xml:space="preserve"> percent </w:t>
      </w:r>
      <w:r w:rsidR="000A50B7">
        <w:t xml:space="preserve">(2.8%) </w:t>
      </w:r>
      <w:r w:rsidR="00E859E4">
        <w:t>of the respondents rate</w:t>
      </w:r>
      <w:r>
        <w:t>d</w:t>
      </w:r>
      <w:r w:rsidR="00E859E4">
        <w:t xml:space="preserve"> the cleanliness of the dental clinics as “</w:t>
      </w:r>
      <w:r>
        <w:t>Fair,</w:t>
      </w:r>
      <w:r w:rsidR="00E859E4">
        <w:t>”</w:t>
      </w:r>
      <w:r w:rsidR="000A50B7">
        <w:t xml:space="preserve"> and almost none (0.1</w:t>
      </w:r>
      <w:r>
        <w:t>%) rated it as “Poor.”</w:t>
      </w:r>
    </w:p>
    <w:p w:rsidR="005F03BC" w:rsidRPr="00FD67E6" w:rsidRDefault="005F03BC" w:rsidP="005F03BC">
      <w:pPr>
        <w:pStyle w:val="NoSpacing"/>
      </w:pPr>
    </w:p>
    <w:p w:rsidR="00BA4643" w:rsidRDefault="000B17D4" w:rsidP="00981F24">
      <w:pPr>
        <w:spacing w:after="200" w:line="276" w:lineRule="auto"/>
      </w:pPr>
      <w:r>
        <w:t>In 201</w:t>
      </w:r>
      <w:r w:rsidR="00DD3607">
        <w:t>3</w:t>
      </w:r>
      <w:r>
        <w:t>, t</w:t>
      </w:r>
      <w:r w:rsidR="00981F24">
        <w:t>he average level of response on a scale w</w:t>
      </w:r>
      <w:r w:rsidR="00BA4643">
        <w:t>here “Excellent” = 4</w:t>
      </w:r>
      <w:r w:rsidR="006523F2">
        <w:t xml:space="preserve"> and “Poor”</w:t>
      </w:r>
      <w:r w:rsidR="00981F24">
        <w:t>=</w:t>
      </w:r>
      <w:r w:rsidR="006523F2">
        <w:t xml:space="preserve"> </w:t>
      </w:r>
      <w:r w:rsidR="00981F24">
        <w:t xml:space="preserve">1 is </w:t>
      </w:r>
      <w:r w:rsidR="00DD3607">
        <w:t>3.68</w:t>
      </w:r>
      <w:r w:rsidR="00981F24">
        <w:t>.</w:t>
      </w:r>
    </w:p>
    <w:p w:rsidR="00BA4643" w:rsidRDefault="00BA4643" w:rsidP="00981F24">
      <w:pPr>
        <w:spacing w:after="200" w:line="276" w:lineRule="auto"/>
      </w:pPr>
    </w:p>
    <w:p w:rsidR="009C672B" w:rsidRDefault="009C672B" w:rsidP="009C672B">
      <w:pPr>
        <w:pStyle w:val="NoSpacing"/>
      </w:pPr>
    </w:p>
    <w:p w:rsidR="009C672B" w:rsidRDefault="009C672B" w:rsidP="009C672B">
      <w:pPr>
        <w:pStyle w:val="NoSpacing"/>
      </w:pPr>
    </w:p>
    <w:p w:rsidR="009C672B" w:rsidRDefault="009C672B" w:rsidP="009C672B">
      <w:pPr>
        <w:pStyle w:val="NoSpacing"/>
      </w:pPr>
    </w:p>
    <w:p w:rsidR="009C672B" w:rsidRDefault="009C672B" w:rsidP="009C672B">
      <w:pPr>
        <w:pStyle w:val="NoSpacing"/>
      </w:pPr>
    </w:p>
    <w:p w:rsidR="009C672B" w:rsidRDefault="009C672B" w:rsidP="009C672B">
      <w:pPr>
        <w:pStyle w:val="NoSpacing"/>
      </w:pPr>
    </w:p>
    <w:p w:rsidR="009C672B" w:rsidRDefault="009C672B" w:rsidP="009C672B">
      <w:pPr>
        <w:pStyle w:val="NoSpacing"/>
      </w:pPr>
    </w:p>
    <w:p w:rsidR="009C672B" w:rsidRDefault="009C672B" w:rsidP="009C672B">
      <w:pPr>
        <w:pStyle w:val="NoSpacing"/>
      </w:pPr>
    </w:p>
    <w:p w:rsidR="009C672B" w:rsidRPr="009C672B" w:rsidRDefault="009C672B" w:rsidP="009C672B">
      <w:pPr>
        <w:pStyle w:val="NoSpacing"/>
      </w:pPr>
    </w:p>
    <w:p w:rsidR="00BA4643" w:rsidRPr="00E72656" w:rsidRDefault="00BA4643" w:rsidP="00BA4643">
      <w:pPr>
        <w:rPr>
          <w:sz w:val="20"/>
          <w:szCs w:val="20"/>
        </w:rPr>
      </w:pPr>
      <w:r w:rsidRPr="00E72656">
        <w:rPr>
          <w:sz w:val="20"/>
          <w:szCs w:val="20"/>
        </w:rPr>
        <w:t>*Notes:</w:t>
      </w:r>
    </w:p>
    <w:p w:rsidR="00BA4643" w:rsidRPr="00E72656" w:rsidRDefault="00BA4643" w:rsidP="00BA4643">
      <w:pPr>
        <w:pStyle w:val="ListParagraph"/>
        <w:numPr>
          <w:ilvl w:val="0"/>
          <w:numId w:val="1"/>
        </w:numPr>
        <w:rPr>
          <w:sz w:val="20"/>
          <w:szCs w:val="20"/>
        </w:rPr>
      </w:pPr>
      <w:r>
        <w:rPr>
          <w:sz w:val="20"/>
          <w:szCs w:val="20"/>
        </w:rPr>
        <w:t>Prior to 2012, the responses to this question were presented on a 5-point scale: Excellent, Very Good, Good, Fair, and Poor.  In 2012, the responses to this question were presented on a 4-point scale: Excellent, Very Good, Fair, and Poor.</w:t>
      </w:r>
    </w:p>
    <w:p w:rsidR="00981F24" w:rsidRDefault="00981F24" w:rsidP="00981F24">
      <w:pPr>
        <w:spacing w:after="200" w:line="276" w:lineRule="auto"/>
        <w:rPr>
          <w:rFonts w:asciiTheme="majorHAnsi" w:eastAsiaTheme="majorEastAsia" w:hAnsiTheme="majorHAnsi" w:cstheme="majorBidi"/>
          <w:b/>
          <w:bCs/>
          <w:color w:val="4F81BD" w:themeColor="accent1"/>
          <w:sz w:val="26"/>
          <w:szCs w:val="26"/>
        </w:rPr>
      </w:pPr>
      <w:r>
        <w:br w:type="page"/>
      </w:r>
    </w:p>
    <w:p w:rsidR="009C672B" w:rsidRDefault="009C672B" w:rsidP="009C672B">
      <w:pPr>
        <w:pStyle w:val="Heading2"/>
      </w:pPr>
      <w:bookmarkStart w:id="25" w:name="_Toc383680505"/>
      <w:r>
        <w:lastRenderedPageBreak/>
        <w:t>Cleanliness of Restrooms (2012</w:t>
      </w:r>
      <w:r w:rsidR="000E0299">
        <w:t>-2013</w:t>
      </w:r>
      <w:r>
        <w:t>)</w:t>
      </w:r>
      <w:bookmarkEnd w:id="25"/>
    </w:p>
    <w:p w:rsidR="009C672B" w:rsidRDefault="009C672B" w:rsidP="009C672B">
      <w:pPr>
        <w:pStyle w:val="NoSpacing"/>
      </w:pPr>
    </w:p>
    <w:p w:rsidR="009C672B" w:rsidRDefault="009C672B" w:rsidP="009C672B">
      <w:pPr>
        <w:pStyle w:val="NoSpacing"/>
        <w:jc w:val="center"/>
      </w:pPr>
      <w:r>
        <w:t>Patients were asked: “</w:t>
      </w:r>
      <w:r w:rsidRPr="005F03BC">
        <w:rPr>
          <w:i/>
        </w:rPr>
        <w:t xml:space="preserve">How would you rate the </w:t>
      </w:r>
      <w:r>
        <w:rPr>
          <w:i/>
        </w:rPr>
        <w:t>cleanliness of our restroom(s)</w:t>
      </w:r>
      <w:r w:rsidRPr="005F03BC">
        <w:rPr>
          <w:i/>
        </w:rPr>
        <w:t>?</w:t>
      </w:r>
      <w:r>
        <w:t>”</w:t>
      </w:r>
    </w:p>
    <w:p w:rsidR="009C672B" w:rsidRDefault="009C672B" w:rsidP="009C672B">
      <w:pPr>
        <w:pStyle w:val="NoSpacing"/>
        <w:jc w:val="center"/>
      </w:pPr>
    </w:p>
    <w:p w:rsidR="009C672B" w:rsidRDefault="009C672B" w:rsidP="009C672B">
      <w:pPr>
        <w:pStyle w:val="NoSpacing"/>
        <w:jc w:val="center"/>
      </w:pPr>
    </w:p>
    <w:p w:rsidR="009C672B" w:rsidRDefault="009C672B" w:rsidP="009C672B">
      <w:pPr>
        <w:pStyle w:val="NoSpacing"/>
        <w:jc w:val="center"/>
      </w:pPr>
      <w:r w:rsidRPr="005F03BC">
        <w:rPr>
          <w:noProof/>
        </w:rPr>
        <w:drawing>
          <wp:inline distT="0" distB="0" distL="0" distR="0" wp14:anchorId="66AFC242" wp14:editId="7FBC4993">
            <wp:extent cx="5486400" cy="3200400"/>
            <wp:effectExtent l="0" t="0" r="19050" b="19050"/>
            <wp:docPr id="3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C672B" w:rsidRDefault="009C672B" w:rsidP="009C672B"/>
    <w:p w:rsidR="009C672B" w:rsidRDefault="009C672B" w:rsidP="009C672B">
      <w:r>
        <w:t>About one-half (4</w:t>
      </w:r>
      <w:r w:rsidR="000E0299">
        <w:t>7</w:t>
      </w:r>
      <w:r w:rsidR="000A50B7">
        <w:t>.8</w:t>
      </w:r>
      <w:r>
        <w:t>%) of the respondents in 201</w:t>
      </w:r>
      <w:r w:rsidR="000E0299">
        <w:t>3</w:t>
      </w:r>
      <w:r>
        <w:t xml:space="preserve"> rated the cleanliness of the restroom(s) as “Excellent,” and nearly two-fifths (3</w:t>
      </w:r>
      <w:r w:rsidR="000A50B7">
        <w:t>8.5</w:t>
      </w:r>
      <w:r>
        <w:t>%) rated the cleanliness of the restroom(s) as “Ver</w:t>
      </w:r>
      <w:r w:rsidR="000A50B7">
        <w:t>y Good.”  About one-eighth (12.1</w:t>
      </w:r>
      <w:r>
        <w:t xml:space="preserve">%) of the respondents rated the cleanliness of the </w:t>
      </w:r>
      <w:r w:rsidR="000E0299">
        <w:t>restroom(s) as “Fair,” and</w:t>
      </w:r>
      <w:r w:rsidR="000A50B7">
        <w:t xml:space="preserve"> about</w:t>
      </w:r>
      <w:r w:rsidR="000E0299">
        <w:t xml:space="preserve"> two</w:t>
      </w:r>
      <w:r>
        <w:t xml:space="preserve"> percent</w:t>
      </w:r>
      <w:r w:rsidR="000A50B7">
        <w:t xml:space="preserve"> (1.6%)</w:t>
      </w:r>
      <w:r>
        <w:t xml:space="preserve"> rated it as “Poor.”</w:t>
      </w:r>
    </w:p>
    <w:p w:rsidR="009C672B" w:rsidRPr="00FD67E6" w:rsidRDefault="009C672B" w:rsidP="009C672B">
      <w:pPr>
        <w:pStyle w:val="NoSpacing"/>
      </w:pPr>
    </w:p>
    <w:p w:rsidR="009C672B" w:rsidRDefault="009C672B" w:rsidP="009C672B">
      <w:pPr>
        <w:spacing w:after="200" w:line="276" w:lineRule="auto"/>
      </w:pPr>
      <w:r>
        <w:t>In 201</w:t>
      </w:r>
      <w:r w:rsidR="000E0299">
        <w:t>3</w:t>
      </w:r>
      <w:r>
        <w:t>, the average level of response on a scale where “Exce</w:t>
      </w:r>
      <w:r w:rsidR="000E0299">
        <w:t xml:space="preserve">llent” = 4 and </w:t>
      </w:r>
      <w:r w:rsidR="000A50B7">
        <w:t>“Poor”= 1 is 3.32</w:t>
      </w:r>
      <w:r>
        <w:t>.</w:t>
      </w:r>
    </w:p>
    <w:p w:rsidR="009C672B" w:rsidRDefault="009C672B" w:rsidP="009C672B">
      <w:pPr>
        <w:spacing w:after="200" w:line="276" w:lineRule="auto"/>
      </w:pPr>
    </w:p>
    <w:p w:rsidR="009C672B" w:rsidRDefault="009C672B" w:rsidP="009C672B">
      <w:pPr>
        <w:pStyle w:val="NoSpacing"/>
      </w:pPr>
    </w:p>
    <w:p w:rsidR="009C672B" w:rsidRDefault="009C672B" w:rsidP="009C672B">
      <w:pPr>
        <w:pStyle w:val="NoSpacing"/>
      </w:pPr>
    </w:p>
    <w:p w:rsidR="009C672B" w:rsidRDefault="009C672B" w:rsidP="009C672B">
      <w:pPr>
        <w:pStyle w:val="NoSpacing"/>
      </w:pPr>
    </w:p>
    <w:p w:rsidR="009C672B" w:rsidRDefault="009C672B" w:rsidP="009C672B">
      <w:pPr>
        <w:pStyle w:val="NoSpacing"/>
      </w:pPr>
    </w:p>
    <w:p w:rsidR="009C672B" w:rsidRDefault="009C672B" w:rsidP="009C672B">
      <w:pPr>
        <w:pStyle w:val="NoSpacing"/>
      </w:pPr>
    </w:p>
    <w:p w:rsidR="009C672B" w:rsidRDefault="009C672B" w:rsidP="009C672B">
      <w:pPr>
        <w:pStyle w:val="NoSpacing"/>
      </w:pPr>
    </w:p>
    <w:p w:rsidR="009C672B" w:rsidRDefault="009C672B" w:rsidP="009C672B">
      <w:pPr>
        <w:pStyle w:val="NoSpacing"/>
      </w:pPr>
    </w:p>
    <w:p w:rsidR="009C672B" w:rsidRDefault="009C672B" w:rsidP="009C672B">
      <w:pPr>
        <w:rPr>
          <w:sz w:val="20"/>
          <w:szCs w:val="20"/>
        </w:rPr>
      </w:pPr>
    </w:p>
    <w:p w:rsidR="009C672B" w:rsidRDefault="009C672B" w:rsidP="009C672B">
      <w:pPr>
        <w:rPr>
          <w:sz w:val="20"/>
          <w:szCs w:val="20"/>
        </w:rPr>
      </w:pPr>
    </w:p>
    <w:p w:rsidR="009C672B" w:rsidRDefault="009C672B" w:rsidP="009C672B">
      <w:pPr>
        <w:rPr>
          <w:sz w:val="20"/>
          <w:szCs w:val="20"/>
        </w:rPr>
      </w:pPr>
    </w:p>
    <w:p w:rsidR="009C672B" w:rsidRPr="00E72656" w:rsidRDefault="009C672B" w:rsidP="009C672B">
      <w:pPr>
        <w:rPr>
          <w:sz w:val="20"/>
          <w:szCs w:val="20"/>
        </w:rPr>
      </w:pPr>
      <w:r w:rsidRPr="00E72656">
        <w:rPr>
          <w:sz w:val="20"/>
          <w:szCs w:val="20"/>
        </w:rPr>
        <w:t>*Notes:</w:t>
      </w:r>
    </w:p>
    <w:p w:rsidR="009C672B" w:rsidRPr="009C672B" w:rsidRDefault="009C672B" w:rsidP="009C672B">
      <w:pPr>
        <w:pStyle w:val="ListParagraph"/>
        <w:numPr>
          <w:ilvl w:val="0"/>
          <w:numId w:val="1"/>
        </w:numPr>
        <w:rPr>
          <w:sz w:val="20"/>
          <w:szCs w:val="20"/>
        </w:rPr>
      </w:pPr>
      <w:r>
        <w:rPr>
          <w:sz w:val="20"/>
          <w:szCs w:val="20"/>
        </w:rPr>
        <w:t xml:space="preserve">Prior to 2012, a previous question asked: </w:t>
      </w:r>
      <w:r w:rsidRPr="009C672B">
        <w:rPr>
          <w:sz w:val="20"/>
          <w:szCs w:val="20"/>
        </w:rPr>
        <w:t>“</w:t>
      </w:r>
      <w:r w:rsidRPr="009C672B">
        <w:rPr>
          <w:i/>
          <w:sz w:val="20"/>
          <w:szCs w:val="20"/>
        </w:rPr>
        <w:t>How would you rate the appearance of our patient reception area</w:t>
      </w:r>
      <w:r>
        <w:rPr>
          <w:i/>
          <w:sz w:val="20"/>
          <w:szCs w:val="20"/>
        </w:rPr>
        <w:t xml:space="preserve"> and restrooms</w:t>
      </w:r>
      <w:r w:rsidRPr="009C672B">
        <w:rPr>
          <w:i/>
          <w:sz w:val="20"/>
          <w:szCs w:val="20"/>
        </w:rPr>
        <w:t>?</w:t>
      </w:r>
      <w:r w:rsidRPr="009C672B">
        <w:rPr>
          <w:sz w:val="20"/>
          <w:szCs w:val="20"/>
        </w:rPr>
        <w:t>”</w:t>
      </w:r>
      <w:r>
        <w:rPr>
          <w:sz w:val="20"/>
          <w:szCs w:val="20"/>
        </w:rPr>
        <w:t xml:space="preserve"> In 2012, there are separate questions about the reception area and restrooms.</w:t>
      </w:r>
    </w:p>
    <w:p w:rsidR="009C672B" w:rsidRDefault="009C672B">
      <w:pPr>
        <w:spacing w:after="200" w:line="276" w:lineRule="auto"/>
        <w:rPr>
          <w:rFonts w:asciiTheme="majorHAnsi" w:eastAsiaTheme="majorEastAsia" w:hAnsiTheme="majorHAnsi" w:cstheme="majorBidi"/>
          <w:b/>
          <w:bCs/>
          <w:color w:val="4F81BD" w:themeColor="accent1"/>
          <w:sz w:val="26"/>
          <w:szCs w:val="26"/>
        </w:rPr>
      </w:pPr>
      <w:r>
        <w:br w:type="page"/>
      </w:r>
    </w:p>
    <w:p w:rsidR="005F03BC" w:rsidRDefault="00981F24" w:rsidP="00981F24">
      <w:pPr>
        <w:pStyle w:val="Heading2"/>
      </w:pPr>
      <w:bookmarkStart w:id="26" w:name="_Toc383680506"/>
      <w:r>
        <w:lastRenderedPageBreak/>
        <w:t>Overall Quality of Care</w:t>
      </w:r>
      <w:bookmarkEnd w:id="26"/>
    </w:p>
    <w:p w:rsidR="00981F24" w:rsidRDefault="00981F24" w:rsidP="005F03BC">
      <w:pPr>
        <w:pStyle w:val="NoSpacing"/>
      </w:pPr>
    </w:p>
    <w:p w:rsidR="00981F24" w:rsidRDefault="00981F24" w:rsidP="00981F24">
      <w:pPr>
        <w:pStyle w:val="NoSpacing"/>
        <w:jc w:val="center"/>
      </w:pPr>
      <w:r>
        <w:t>Patients were asked: “</w:t>
      </w:r>
      <w:r w:rsidRPr="00981F24">
        <w:rPr>
          <w:i/>
        </w:rPr>
        <w:t>How would you rate the overall quality of the dental care you receive here?</w:t>
      </w:r>
      <w:r>
        <w:t>”</w:t>
      </w:r>
      <w:r w:rsidR="00C66D73">
        <w:t>*</w:t>
      </w:r>
    </w:p>
    <w:p w:rsidR="00981F24" w:rsidRDefault="00981F24" w:rsidP="00981F24">
      <w:pPr>
        <w:pStyle w:val="NoSpacing"/>
      </w:pPr>
    </w:p>
    <w:p w:rsidR="00981F24" w:rsidRDefault="00981F24" w:rsidP="00981F24">
      <w:pPr>
        <w:pStyle w:val="NoSpacing"/>
        <w:jc w:val="center"/>
      </w:pPr>
      <w:r w:rsidRPr="00981F24">
        <w:rPr>
          <w:noProof/>
        </w:rPr>
        <w:drawing>
          <wp:inline distT="0" distB="0" distL="0" distR="0" wp14:anchorId="755F76F3" wp14:editId="6A632D5A">
            <wp:extent cx="5486400" cy="3200400"/>
            <wp:effectExtent l="19050" t="0" r="19050" b="0"/>
            <wp:docPr id="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81F24" w:rsidRDefault="00981F24" w:rsidP="00981F24">
      <w:pPr>
        <w:pStyle w:val="NoSpacing"/>
      </w:pPr>
    </w:p>
    <w:p w:rsidR="00731FB4" w:rsidRDefault="00731FB4" w:rsidP="00731FB4">
      <w:r>
        <w:t>On average, about three-quart</w:t>
      </w:r>
      <w:r w:rsidR="007D5B4F">
        <w:t>ers of the respondents from 200</w:t>
      </w:r>
      <w:r w:rsidR="000E0299">
        <w:t>9</w:t>
      </w:r>
      <w:r>
        <w:t xml:space="preserve"> to 201</w:t>
      </w:r>
      <w:r w:rsidR="000E0299">
        <w:t>3</w:t>
      </w:r>
      <w:r>
        <w:t xml:space="preserve"> rate the overall quality of the dental care they receive as “</w:t>
      </w:r>
      <w:r w:rsidR="007D5B4F">
        <w:t>Excellent”</w:t>
      </w:r>
      <w:r>
        <w:t xml:space="preserve"> and </w:t>
      </w:r>
      <w:r w:rsidR="006523F2">
        <w:t xml:space="preserve">about </w:t>
      </w:r>
      <w:r>
        <w:t xml:space="preserve">one-fifth </w:t>
      </w:r>
      <w:r w:rsidR="006523F2">
        <w:t>rate the overall quality as</w:t>
      </w:r>
      <w:r>
        <w:t xml:space="preserve"> “Very Good.”  In contrast, almost none of the respondents rate the </w:t>
      </w:r>
      <w:r w:rsidR="006523F2">
        <w:t>o</w:t>
      </w:r>
      <w:r>
        <w:t xml:space="preserve">verall quality of </w:t>
      </w:r>
      <w:r w:rsidR="006523F2">
        <w:t>c</w:t>
      </w:r>
      <w:r>
        <w:t>are</w:t>
      </w:r>
      <w:r w:rsidR="006523F2">
        <w:t xml:space="preserve"> </w:t>
      </w:r>
      <w:r>
        <w:t xml:space="preserve">as </w:t>
      </w:r>
      <w:r w:rsidR="006523F2">
        <w:t xml:space="preserve">either “Fair” or </w:t>
      </w:r>
      <w:r>
        <w:t>“Poor.”</w:t>
      </w:r>
      <w:r w:rsidR="006523F2">
        <w:t xml:space="preserve">  </w:t>
      </w:r>
    </w:p>
    <w:p w:rsidR="007D5B4F" w:rsidRDefault="007D5B4F" w:rsidP="007D5B4F">
      <w:pPr>
        <w:pStyle w:val="NoSpacing"/>
      </w:pPr>
    </w:p>
    <w:p w:rsidR="007D5B4F" w:rsidRPr="007D5B4F" w:rsidRDefault="007D5B4F" w:rsidP="007D5B4F">
      <w:pPr>
        <w:pStyle w:val="NoSpacing"/>
      </w:pPr>
      <w:r>
        <w:t>In 201</w:t>
      </w:r>
      <w:r w:rsidR="000E0299">
        <w:t>3</w:t>
      </w:r>
      <w:r w:rsidR="006B03BA">
        <w:t>, about three-quarters (7</w:t>
      </w:r>
      <w:r w:rsidR="00A25B0F">
        <w:t>6.5</w:t>
      </w:r>
      <w:r>
        <w:t>%) of the patients who responded rate</w:t>
      </w:r>
      <w:r w:rsidR="006B03BA">
        <w:t>d</w:t>
      </w:r>
      <w:r>
        <w:t xml:space="preserve"> the overall quality of the dental care they receive at the UF College of Dentistry as “Excellent” and </w:t>
      </w:r>
      <w:r w:rsidR="006B03BA">
        <w:t xml:space="preserve">more than </w:t>
      </w:r>
      <w:r>
        <w:t>one-fifth (2</w:t>
      </w:r>
      <w:r w:rsidR="00A25B0F">
        <w:t>1.6</w:t>
      </w:r>
      <w:r>
        <w:t>%) rate</w:t>
      </w:r>
      <w:r w:rsidR="006B03BA">
        <w:t>d</w:t>
      </w:r>
      <w:r>
        <w:t xml:space="preserve"> it as “Very Good.”  About </w:t>
      </w:r>
      <w:r w:rsidR="000E0299">
        <w:t>two</w:t>
      </w:r>
      <w:r>
        <w:t xml:space="preserve"> percent of the 201</w:t>
      </w:r>
      <w:r w:rsidR="000E0299">
        <w:t>3</w:t>
      </w:r>
      <w:r>
        <w:t xml:space="preserve"> respondents rate the overall quality of care as “Fair” (</w:t>
      </w:r>
      <w:r w:rsidR="000E0299">
        <w:t>1.7</w:t>
      </w:r>
      <w:r>
        <w:t xml:space="preserve">%) or </w:t>
      </w:r>
      <w:r w:rsidR="006B03BA">
        <w:t xml:space="preserve">almost none rated it as </w:t>
      </w:r>
      <w:r>
        <w:t>“Poor” (0.</w:t>
      </w:r>
      <w:r w:rsidR="006B03BA">
        <w:t>2</w:t>
      </w:r>
      <w:r>
        <w:t>%).</w:t>
      </w:r>
    </w:p>
    <w:p w:rsidR="006523F2" w:rsidRPr="006523F2" w:rsidRDefault="006523F2" w:rsidP="006523F2">
      <w:pPr>
        <w:pStyle w:val="NoSpacing"/>
      </w:pPr>
    </w:p>
    <w:p w:rsidR="00BA4643" w:rsidRDefault="00981F24" w:rsidP="00981F24">
      <w:pPr>
        <w:spacing w:after="200" w:line="276" w:lineRule="auto"/>
      </w:pPr>
      <w:r>
        <w:t>In 201</w:t>
      </w:r>
      <w:r w:rsidR="000E0299">
        <w:t>3</w:t>
      </w:r>
      <w:r>
        <w:t xml:space="preserve">, the average level of response on a scale where “Excellent” = </w:t>
      </w:r>
      <w:r w:rsidR="006B03BA">
        <w:t>4</w:t>
      </w:r>
      <w:r>
        <w:t xml:space="preserve"> and “Poor” =</w:t>
      </w:r>
      <w:r w:rsidR="006523F2">
        <w:t xml:space="preserve"> </w:t>
      </w:r>
      <w:r>
        <w:t xml:space="preserve">1 is </w:t>
      </w:r>
      <w:r w:rsidR="00A25B0F">
        <w:t>3.74</w:t>
      </w:r>
      <w:r>
        <w:t>.</w:t>
      </w:r>
    </w:p>
    <w:p w:rsidR="00BA4643" w:rsidRDefault="00BA4643" w:rsidP="00981F24">
      <w:pPr>
        <w:spacing w:after="200" w:line="276" w:lineRule="auto"/>
      </w:pPr>
    </w:p>
    <w:p w:rsidR="006B03BA" w:rsidRDefault="006B03BA" w:rsidP="006B03BA">
      <w:pPr>
        <w:pStyle w:val="NoSpacing"/>
      </w:pPr>
    </w:p>
    <w:p w:rsidR="006B03BA" w:rsidRDefault="006B03BA" w:rsidP="006B03BA">
      <w:pPr>
        <w:pStyle w:val="NoSpacing"/>
      </w:pPr>
    </w:p>
    <w:p w:rsidR="006B03BA" w:rsidRDefault="006B03BA" w:rsidP="006B03BA">
      <w:pPr>
        <w:pStyle w:val="NoSpacing"/>
      </w:pPr>
    </w:p>
    <w:p w:rsidR="006B03BA" w:rsidRDefault="006B03BA" w:rsidP="006B03BA">
      <w:pPr>
        <w:pStyle w:val="NoSpacing"/>
      </w:pPr>
    </w:p>
    <w:p w:rsidR="006B03BA" w:rsidRDefault="006B03BA" w:rsidP="006B03BA">
      <w:pPr>
        <w:pStyle w:val="NoSpacing"/>
      </w:pPr>
    </w:p>
    <w:p w:rsidR="006B03BA" w:rsidRPr="006B03BA" w:rsidRDefault="006B03BA" w:rsidP="006B03BA">
      <w:pPr>
        <w:pStyle w:val="NoSpacing"/>
      </w:pPr>
    </w:p>
    <w:p w:rsidR="00BA4643" w:rsidRPr="00E72656" w:rsidRDefault="00BA4643" w:rsidP="00BA4643">
      <w:pPr>
        <w:rPr>
          <w:sz w:val="20"/>
          <w:szCs w:val="20"/>
        </w:rPr>
      </w:pPr>
      <w:r w:rsidRPr="00E72656">
        <w:rPr>
          <w:sz w:val="20"/>
          <w:szCs w:val="20"/>
        </w:rPr>
        <w:t>*Notes:</w:t>
      </w:r>
    </w:p>
    <w:p w:rsidR="00BA4643" w:rsidRPr="00E72656" w:rsidRDefault="00BA4643" w:rsidP="00BA4643">
      <w:pPr>
        <w:pStyle w:val="ListParagraph"/>
        <w:numPr>
          <w:ilvl w:val="0"/>
          <w:numId w:val="1"/>
        </w:numPr>
        <w:rPr>
          <w:sz w:val="20"/>
          <w:szCs w:val="20"/>
        </w:rPr>
      </w:pPr>
      <w:r>
        <w:rPr>
          <w:sz w:val="20"/>
          <w:szCs w:val="20"/>
        </w:rPr>
        <w:t>Prior to 2012, the responses to this question were presented on a 5-point scale: Excellent, Very Good, Good, Fair, and Poor.  In 2012, the responses to this question were presented on a 4-point scale: Excellent, Very Good, Fair, and Poor.</w:t>
      </w:r>
    </w:p>
    <w:p w:rsidR="00981F24" w:rsidRDefault="00981F24" w:rsidP="00981F24">
      <w:pPr>
        <w:spacing w:after="200" w:line="276" w:lineRule="auto"/>
        <w:rPr>
          <w:rFonts w:asciiTheme="majorHAnsi" w:eastAsiaTheme="majorEastAsia" w:hAnsiTheme="majorHAnsi" w:cstheme="majorBidi"/>
          <w:b/>
          <w:bCs/>
          <w:color w:val="4F81BD" w:themeColor="accent1"/>
          <w:sz w:val="26"/>
          <w:szCs w:val="26"/>
        </w:rPr>
      </w:pPr>
      <w:r>
        <w:br w:type="page"/>
      </w:r>
    </w:p>
    <w:p w:rsidR="00981F24" w:rsidRDefault="00981F24" w:rsidP="008D1ED1">
      <w:pPr>
        <w:pStyle w:val="Heading2"/>
      </w:pPr>
      <w:bookmarkStart w:id="27" w:name="_Toc383680507"/>
      <w:r>
        <w:lastRenderedPageBreak/>
        <w:t>Treatment by Dental Care Provider</w:t>
      </w:r>
      <w:r w:rsidR="008D1ED1">
        <w:t xml:space="preserve"> (2010</w:t>
      </w:r>
      <w:r w:rsidR="00080CFB">
        <w:t>-</w:t>
      </w:r>
      <w:r w:rsidR="00206263">
        <w:t>201</w:t>
      </w:r>
      <w:r w:rsidR="000E0299">
        <w:t>3</w:t>
      </w:r>
      <w:r w:rsidR="008D1ED1">
        <w:t>)</w:t>
      </w:r>
      <w:bookmarkEnd w:id="27"/>
    </w:p>
    <w:p w:rsidR="00981F24" w:rsidRDefault="00981F24" w:rsidP="00981F24">
      <w:pPr>
        <w:pStyle w:val="NoSpacing"/>
      </w:pPr>
    </w:p>
    <w:p w:rsidR="00981F24" w:rsidRDefault="00981F24" w:rsidP="008D1ED1">
      <w:pPr>
        <w:pStyle w:val="NoSpacing"/>
        <w:jc w:val="center"/>
      </w:pPr>
      <w:r>
        <w:t>Patients were asked: “</w:t>
      </w:r>
      <w:r w:rsidRPr="008D1ED1">
        <w:rPr>
          <w:i/>
        </w:rPr>
        <w:t>Using a scale from 5 (always considerate and caring) to 1 (usually rude), how would you describe the way your dental care provider treats you?</w:t>
      </w:r>
      <w:r>
        <w:t>”</w:t>
      </w:r>
    </w:p>
    <w:p w:rsidR="008D1ED1" w:rsidRDefault="008D1ED1" w:rsidP="00981F24">
      <w:pPr>
        <w:pStyle w:val="NoSpacing"/>
      </w:pPr>
    </w:p>
    <w:p w:rsidR="008D1ED1" w:rsidRDefault="008D1ED1" w:rsidP="008D1ED1">
      <w:pPr>
        <w:pStyle w:val="NoSpacing"/>
        <w:jc w:val="center"/>
      </w:pPr>
      <w:r w:rsidRPr="008D1ED1">
        <w:rPr>
          <w:noProof/>
        </w:rPr>
        <w:drawing>
          <wp:inline distT="0" distB="0" distL="0" distR="0" wp14:anchorId="79CFD73E" wp14:editId="358167E6">
            <wp:extent cx="5486400" cy="3200400"/>
            <wp:effectExtent l="0" t="0" r="19050" b="19050"/>
            <wp:docPr id="17"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D1ED1" w:rsidRDefault="008D1ED1" w:rsidP="008D1ED1">
      <w:pPr>
        <w:pStyle w:val="NoSpacing"/>
      </w:pPr>
    </w:p>
    <w:p w:rsidR="00080CFB" w:rsidRDefault="00080CFB" w:rsidP="00080CFB">
      <w:r>
        <w:t xml:space="preserve">Almost all of the respondents in each year – </w:t>
      </w:r>
      <w:r w:rsidR="000E0299">
        <w:t>2013 (92.</w:t>
      </w:r>
      <w:r w:rsidR="006E29A0">
        <w:t>9</w:t>
      </w:r>
      <w:r w:rsidR="000E0299">
        <w:t xml:space="preserve">%), </w:t>
      </w:r>
      <w:r>
        <w:t>2012 (92.8%), 2011 (91.3%), and 2010 (89.3%) – indicate that their dental care provider is “Always considerate.”  T</w:t>
      </w:r>
      <w:r w:rsidR="00B706C6">
        <w:t>he average response in 201</w:t>
      </w:r>
      <w:r w:rsidR="000E0299">
        <w:t>3</w:t>
      </w:r>
      <w:r w:rsidR="00B706C6">
        <w:t xml:space="preserve"> is 4.9</w:t>
      </w:r>
      <w:r w:rsidR="000E0299">
        <w:t>1</w:t>
      </w:r>
      <w:r>
        <w:t>.</w:t>
      </w:r>
    </w:p>
    <w:p w:rsidR="00080CFB" w:rsidRPr="00080CFB" w:rsidRDefault="00080CFB" w:rsidP="00080CFB">
      <w:pPr>
        <w:pStyle w:val="NoSpacing"/>
      </w:pPr>
    </w:p>
    <w:p w:rsidR="003B45B8" w:rsidRDefault="003B45B8" w:rsidP="008D1ED1">
      <w:pPr>
        <w:pStyle w:val="NoSpacing"/>
      </w:pPr>
    </w:p>
    <w:p w:rsidR="003B45B8" w:rsidRDefault="003B45B8" w:rsidP="003B45B8">
      <w:pPr>
        <w:pStyle w:val="Heading2"/>
      </w:pPr>
      <w:bookmarkStart w:id="28" w:name="_Toc383680508"/>
      <w:r>
        <w:t>Treatment by Dental Care Provider</w:t>
      </w:r>
      <w:bookmarkEnd w:id="28"/>
      <w:r>
        <w:t xml:space="preserve"> </w:t>
      </w:r>
    </w:p>
    <w:p w:rsidR="003B45B8" w:rsidRDefault="003B45B8">
      <w:pPr>
        <w:spacing w:after="200" w:line="276" w:lineRule="auto"/>
      </w:pPr>
    </w:p>
    <w:p w:rsidR="008D1ED1" w:rsidRDefault="003B45B8">
      <w:pPr>
        <w:spacing w:after="200" w:line="276" w:lineRule="auto"/>
      </w:pPr>
      <w:r>
        <w:t xml:space="preserve">Please note: </w:t>
      </w:r>
      <w:r w:rsidR="00AD6FE5">
        <w:t>This question was asked differently in past surveys.  The table below uses data from prior surveys, and adds the results from this survey, with the scale reversed (1 being “always considerate, helpful, and caring” and 5 being “usually rude or uncaring”)</w:t>
      </w:r>
      <w:r w:rsidR="008B43F6">
        <w:t>.</w:t>
      </w:r>
    </w:p>
    <w:p w:rsidR="003B45B8" w:rsidRPr="003B45B8" w:rsidRDefault="003B45B8" w:rsidP="003B45B8">
      <w:pPr>
        <w:pStyle w:val="NoSpacing"/>
      </w:pPr>
    </w:p>
    <w:tbl>
      <w:tblPr>
        <w:tblStyle w:val="TableGrid"/>
        <w:tblW w:w="9573" w:type="dxa"/>
        <w:tblLook w:val="04A0" w:firstRow="1" w:lastRow="0" w:firstColumn="1" w:lastColumn="0" w:noHBand="0" w:noVBand="1"/>
      </w:tblPr>
      <w:tblGrid>
        <w:gridCol w:w="2178"/>
        <w:gridCol w:w="1479"/>
        <w:gridCol w:w="1479"/>
        <w:gridCol w:w="1479"/>
        <w:gridCol w:w="1479"/>
        <w:gridCol w:w="1479"/>
      </w:tblGrid>
      <w:tr w:rsidR="000E0299" w:rsidRPr="00AD6FE5" w:rsidTr="000E0299">
        <w:tc>
          <w:tcPr>
            <w:tcW w:w="2178" w:type="dxa"/>
            <w:shd w:val="clear" w:color="auto" w:fill="C6D9F1" w:themeFill="text2" w:themeFillTint="33"/>
          </w:tcPr>
          <w:p w:rsidR="000E0299" w:rsidRPr="00AD6FE5" w:rsidRDefault="000E0299" w:rsidP="00AD6FE5">
            <w:pPr>
              <w:pStyle w:val="NoSpacing"/>
              <w:rPr>
                <w:b/>
              </w:rPr>
            </w:pPr>
            <w:r w:rsidRPr="00AD6FE5">
              <w:rPr>
                <w:b/>
              </w:rPr>
              <w:t>Average Score</w:t>
            </w:r>
          </w:p>
        </w:tc>
        <w:tc>
          <w:tcPr>
            <w:tcW w:w="1479" w:type="dxa"/>
            <w:shd w:val="clear" w:color="auto" w:fill="C6D9F1" w:themeFill="text2" w:themeFillTint="33"/>
          </w:tcPr>
          <w:p w:rsidR="000E0299" w:rsidRPr="00AD6FE5" w:rsidRDefault="000E0299" w:rsidP="00EC287B">
            <w:pPr>
              <w:pStyle w:val="NoSpacing"/>
              <w:jc w:val="center"/>
              <w:rPr>
                <w:b/>
              </w:rPr>
            </w:pPr>
            <w:r w:rsidRPr="00AD6FE5">
              <w:rPr>
                <w:b/>
              </w:rPr>
              <w:t>2009</w:t>
            </w:r>
          </w:p>
        </w:tc>
        <w:tc>
          <w:tcPr>
            <w:tcW w:w="1479" w:type="dxa"/>
            <w:shd w:val="clear" w:color="auto" w:fill="C6D9F1" w:themeFill="text2" w:themeFillTint="33"/>
          </w:tcPr>
          <w:p w:rsidR="000E0299" w:rsidRPr="00AD6FE5" w:rsidRDefault="000E0299" w:rsidP="00EC287B">
            <w:pPr>
              <w:pStyle w:val="NoSpacing"/>
              <w:jc w:val="center"/>
              <w:rPr>
                <w:b/>
              </w:rPr>
            </w:pPr>
            <w:r w:rsidRPr="00AD6FE5">
              <w:rPr>
                <w:b/>
              </w:rPr>
              <w:t>2010</w:t>
            </w:r>
          </w:p>
        </w:tc>
        <w:tc>
          <w:tcPr>
            <w:tcW w:w="1479" w:type="dxa"/>
            <w:shd w:val="clear" w:color="auto" w:fill="C6D9F1" w:themeFill="text2" w:themeFillTint="33"/>
          </w:tcPr>
          <w:p w:rsidR="000E0299" w:rsidRPr="00AD6FE5" w:rsidRDefault="000E0299" w:rsidP="00EC287B">
            <w:pPr>
              <w:pStyle w:val="NoSpacing"/>
              <w:jc w:val="center"/>
              <w:rPr>
                <w:b/>
              </w:rPr>
            </w:pPr>
            <w:r>
              <w:rPr>
                <w:b/>
              </w:rPr>
              <w:t>2011</w:t>
            </w:r>
          </w:p>
        </w:tc>
        <w:tc>
          <w:tcPr>
            <w:tcW w:w="1479" w:type="dxa"/>
            <w:shd w:val="clear" w:color="auto" w:fill="C6D9F1" w:themeFill="text2" w:themeFillTint="33"/>
          </w:tcPr>
          <w:p w:rsidR="000E0299" w:rsidRPr="00AD6FE5" w:rsidRDefault="000E0299" w:rsidP="00EC287B">
            <w:pPr>
              <w:pStyle w:val="NoSpacing"/>
              <w:jc w:val="center"/>
              <w:rPr>
                <w:b/>
              </w:rPr>
            </w:pPr>
            <w:r>
              <w:rPr>
                <w:b/>
              </w:rPr>
              <w:t>2012</w:t>
            </w:r>
          </w:p>
        </w:tc>
        <w:tc>
          <w:tcPr>
            <w:tcW w:w="1479" w:type="dxa"/>
            <w:shd w:val="clear" w:color="auto" w:fill="C6D9F1" w:themeFill="text2" w:themeFillTint="33"/>
          </w:tcPr>
          <w:p w:rsidR="000E0299" w:rsidRPr="00AD6FE5" w:rsidRDefault="000E0299" w:rsidP="00AD6FE5">
            <w:pPr>
              <w:pStyle w:val="NoSpacing"/>
              <w:jc w:val="center"/>
              <w:rPr>
                <w:b/>
              </w:rPr>
            </w:pPr>
            <w:r>
              <w:rPr>
                <w:b/>
              </w:rPr>
              <w:t>2013</w:t>
            </w:r>
          </w:p>
        </w:tc>
      </w:tr>
      <w:tr w:rsidR="000E0299" w:rsidTr="000E0299">
        <w:tc>
          <w:tcPr>
            <w:tcW w:w="2178" w:type="dxa"/>
          </w:tcPr>
          <w:p w:rsidR="000E0299" w:rsidRDefault="000E0299" w:rsidP="00AD6FE5">
            <w:pPr>
              <w:pStyle w:val="NoSpacing"/>
            </w:pPr>
            <w:r>
              <w:t>Faculty</w:t>
            </w:r>
          </w:p>
        </w:tc>
        <w:tc>
          <w:tcPr>
            <w:tcW w:w="1479" w:type="dxa"/>
          </w:tcPr>
          <w:p w:rsidR="000E0299" w:rsidRDefault="000E0299" w:rsidP="00EC287B">
            <w:pPr>
              <w:pStyle w:val="NoSpacing"/>
              <w:jc w:val="center"/>
            </w:pPr>
            <w:r>
              <w:t>1.16</w:t>
            </w:r>
          </w:p>
        </w:tc>
        <w:tc>
          <w:tcPr>
            <w:tcW w:w="1479" w:type="dxa"/>
          </w:tcPr>
          <w:p w:rsidR="000E0299" w:rsidRDefault="000E0299" w:rsidP="00EC287B">
            <w:pPr>
              <w:pStyle w:val="NoSpacing"/>
              <w:jc w:val="center"/>
            </w:pPr>
            <w:r>
              <w:t>N/A</w:t>
            </w:r>
          </w:p>
        </w:tc>
        <w:tc>
          <w:tcPr>
            <w:tcW w:w="1479" w:type="dxa"/>
          </w:tcPr>
          <w:p w:rsidR="000E0299" w:rsidRDefault="000E0299" w:rsidP="00EC287B">
            <w:pPr>
              <w:pStyle w:val="NoSpacing"/>
              <w:jc w:val="center"/>
            </w:pPr>
            <w:r>
              <w:t>N/A</w:t>
            </w:r>
          </w:p>
        </w:tc>
        <w:tc>
          <w:tcPr>
            <w:tcW w:w="1479" w:type="dxa"/>
          </w:tcPr>
          <w:p w:rsidR="000E0299" w:rsidRDefault="000E0299" w:rsidP="00EC287B">
            <w:pPr>
              <w:pStyle w:val="NoSpacing"/>
              <w:jc w:val="center"/>
            </w:pPr>
            <w:r>
              <w:t>N/A</w:t>
            </w:r>
          </w:p>
        </w:tc>
        <w:tc>
          <w:tcPr>
            <w:tcW w:w="1479" w:type="dxa"/>
          </w:tcPr>
          <w:p w:rsidR="000E0299" w:rsidRDefault="000E0299" w:rsidP="00AD6FE5">
            <w:pPr>
              <w:pStyle w:val="NoSpacing"/>
              <w:jc w:val="center"/>
            </w:pPr>
            <w:r>
              <w:t>N/A</w:t>
            </w:r>
          </w:p>
        </w:tc>
      </w:tr>
      <w:tr w:rsidR="000E0299" w:rsidTr="000E0299">
        <w:tc>
          <w:tcPr>
            <w:tcW w:w="2178" w:type="dxa"/>
          </w:tcPr>
          <w:p w:rsidR="000E0299" w:rsidRDefault="000E0299" w:rsidP="00AD6FE5">
            <w:pPr>
              <w:pStyle w:val="NoSpacing"/>
            </w:pPr>
            <w:r>
              <w:t>Students</w:t>
            </w:r>
          </w:p>
        </w:tc>
        <w:tc>
          <w:tcPr>
            <w:tcW w:w="1479" w:type="dxa"/>
          </w:tcPr>
          <w:p w:rsidR="000E0299" w:rsidRDefault="000E0299" w:rsidP="00EC287B">
            <w:pPr>
              <w:pStyle w:val="NoSpacing"/>
              <w:jc w:val="center"/>
            </w:pPr>
            <w:r>
              <w:t>1.12</w:t>
            </w:r>
          </w:p>
        </w:tc>
        <w:tc>
          <w:tcPr>
            <w:tcW w:w="1479" w:type="dxa"/>
          </w:tcPr>
          <w:p w:rsidR="000E0299" w:rsidRDefault="000E0299" w:rsidP="00EC287B">
            <w:pPr>
              <w:pStyle w:val="NoSpacing"/>
              <w:jc w:val="center"/>
            </w:pPr>
            <w:r>
              <w:t>N/A</w:t>
            </w:r>
          </w:p>
        </w:tc>
        <w:tc>
          <w:tcPr>
            <w:tcW w:w="1479" w:type="dxa"/>
          </w:tcPr>
          <w:p w:rsidR="000E0299" w:rsidRDefault="000E0299" w:rsidP="00EC287B">
            <w:pPr>
              <w:pStyle w:val="NoSpacing"/>
              <w:jc w:val="center"/>
            </w:pPr>
            <w:r>
              <w:t>N/A</w:t>
            </w:r>
          </w:p>
        </w:tc>
        <w:tc>
          <w:tcPr>
            <w:tcW w:w="1479" w:type="dxa"/>
          </w:tcPr>
          <w:p w:rsidR="000E0299" w:rsidRDefault="000E0299" w:rsidP="00EC287B">
            <w:pPr>
              <w:pStyle w:val="NoSpacing"/>
              <w:jc w:val="center"/>
            </w:pPr>
            <w:r>
              <w:t>N/A</w:t>
            </w:r>
          </w:p>
        </w:tc>
        <w:tc>
          <w:tcPr>
            <w:tcW w:w="1479" w:type="dxa"/>
          </w:tcPr>
          <w:p w:rsidR="000E0299" w:rsidRDefault="000E0299" w:rsidP="00AD6FE5">
            <w:pPr>
              <w:pStyle w:val="NoSpacing"/>
              <w:jc w:val="center"/>
            </w:pPr>
            <w:r>
              <w:t>N/A</w:t>
            </w:r>
          </w:p>
        </w:tc>
      </w:tr>
      <w:tr w:rsidR="000E0299" w:rsidTr="000E0299">
        <w:tc>
          <w:tcPr>
            <w:tcW w:w="2178" w:type="dxa"/>
          </w:tcPr>
          <w:p w:rsidR="000E0299" w:rsidRDefault="000E0299" w:rsidP="00AD6FE5">
            <w:pPr>
              <w:pStyle w:val="NoSpacing"/>
            </w:pPr>
            <w:r>
              <w:t>Dental Care Provider</w:t>
            </w:r>
          </w:p>
        </w:tc>
        <w:tc>
          <w:tcPr>
            <w:tcW w:w="1479" w:type="dxa"/>
          </w:tcPr>
          <w:p w:rsidR="000E0299" w:rsidRDefault="000E0299" w:rsidP="00EC287B">
            <w:pPr>
              <w:pStyle w:val="NoSpacing"/>
              <w:jc w:val="center"/>
            </w:pPr>
            <w:r>
              <w:t>N/A</w:t>
            </w:r>
          </w:p>
        </w:tc>
        <w:tc>
          <w:tcPr>
            <w:tcW w:w="1479" w:type="dxa"/>
          </w:tcPr>
          <w:p w:rsidR="000E0299" w:rsidRDefault="000E0299" w:rsidP="00EC287B">
            <w:pPr>
              <w:pStyle w:val="NoSpacing"/>
              <w:jc w:val="center"/>
            </w:pPr>
            <w:r>
              <w:t>1.12</w:t>
            </w:r>
          </w:p>
        </w:tc>
        <w:tc>
          <w:tcPr>
            <w:tcW w:w="1479" w:type="dxa"/>
          </w:tcPr>
          <w:p w:rsidR="000E0299" w:rsidRDefault="000E0299" w:rsidP="00EC287B">
            <w:pPr>
              <w:pStyle w:val="NoSpacing"/>
              <w:jc w:val="center"/>
            </w:pPr>
            <w:r>
              <w:t>1.11</w:t>
            </w:r>
          </w:p>
        </w:tc>
        <w:tc>
          <w:tcPr>
            <w:tcW w:w="1479" w:type="dxa"/>
          </w:tcPr>
          <w:p w:rsidR="000E0299" w:rsidRDefault="000E0299" w:rsidP="00EC287B">
            <w:pPr>
              <w:pStyle w:val="NoSpacing"/>
              <w:jc w:val="center"/>
            </w:pPr>
            <w:r>
              <w:t>1.08</w:t>
            </w:r>
          </w:p>
        </w:tc>
        <w:tc>
          <w:tcPr>
            <w:tcW w:w="1479" w:type="dxa"/>
          </w:tcPr>
          <w:p w:rsidR="000E0299" w:rsidRDefault="000E0299" w:rsidP="00AD6FE5">
            <w:pPr>
              <w:pStyle w:val="NoSpacing"/>
              <w:jc w:val="center"/>
            </w:pPr>
            <w:r>
              <w:t>1.09</w:t>
            </w:r>
          </w:p>
        </w:tc>
      </w:tr>
    </w:tbl>
    <w:p w:rsidR="00AD6FE5" w:rsidRPr="00AD6FE5" w:rsidRDefault="00AD6FE5" w:rsidP="00AD6FE5">
      <w:pPr>
        <w:pStyle w:val="NoSpacing"/>
      </w:pPr>
    </w:p>
    <w:p w:rsidR="00AD6FE5" w:rsidRDefault="00AD6FE5">
      <w:pPr>
        <w:spacing w:after="200" w:line="276" w:lineRule="auto"/>
        <w:rPr>
          <w:rFonts w:asciiTheme="majorHAnsi" w:eastAsiaTheme="majorEastAsia" w:hAnsiTheme="majorHAnsi" w:cstheme="majorBidi"/>
          <w:b/>
          <w:bCs/>
          <w:color w:val="4F81BD" w:themeColor="accent1"/>
          <w:sz w:val="26"/>
          <w:szCs w:val="26"/>
        </w:rPr>
      </w:pPr>
      <w:r>
        <w:br w:type="page"/>
      </w:r>
    </w:p>
    <w:p w:rsidR="008D1ED1" w:rsidRDefault="008D1ED1" w:rsidP="008D1ED1">
      <w:pPr>
        <w:pStyle w:val="Heading2"/>
      </w:pPr>
      <w:bookmarkStart w:id="29" w:name="_Toc383680509"/>
      <w:r>
        <w:lastRenderedPageBreak/>
        <w:t>Treatment when Calling the College of Dentistry (2010</w:t>
      </w:r>
      <w:r w:rsidR="00080CFB">
        <w:t>-</w:t>
      </w:r>
      <w:r w:rsidR="00D318DD">
        <w:t>201</w:t>
      </w:r>
      <w:r w:rsidR="002A479D">
        <w:t>3</w:t>
      </w:r>
      <w:r>
        <w:t>)</w:t>
      </w:r>
      <w:bookmarkEnd w:id="29"/>
    </w:p>
    <w:p w:rsidR="008D1ED1" w:rsidRDefault="008D1ED1" w:rsidP="008D1ED1">
      <w:pPr>
        <w:pStyle w:val="NoSpacing"/>
      </w:pPr>
    </w:p>
    <w:p w:rsidR="008D1ED1" w:rsidRDefault="008D1ED1" w:rsidP="008D1ED1">
      <w:pPr>
        <w:pStyle w:val="NoSpacing"/>
        <w:jc w:val="center"/>
      </w:pPr>
      <w:r>
        <w:t>Patients were asked: “</w:t>
      </w:r>
      <w:r w:rsidRPr="008D1ED1">
        <w:rPr>
          <w:i/>
        </w:rPr>
        <w:t>When I call the College of Denti</w:t>
      </w:r>
      <w:r>
        <w:rPr>
          <w:i/>
        </w:rPr>
        <w:t>stry, I am greeted by someone who</w:t>
      </w:r>
      <w:r w:rsidRPr="008D1ED1">
        <w:rPr>
          <w:i/>
        </w:rPr>
        <w:t xml:space="preserve"> is</w:t>
      </w:r>
      <w:r>
        <w:rPr>
          <w:i/>
        </w:rPr>
        <w:t>…</w:t>
      </w:r>
      <w:r w:rsidRPr="008D1ED1">
        <w:rPr>
          <w:i/>
        </w:rPr>
        <w:t xml:space="preserve"> 5 (always considerate and caring) to 1 (usually rude)</w:t>
      </w:r>
      <w:r>
        <w:rPr>
          <w:i/>
        </w:rPr>
        <w:t>.</w:t>
      </w:r>
      <w:r>
        <w:t>”</w:t>
      </w:r>
    </w:p>
    <w:p w:rsidR="008D1ED1" w:rsidRDefault="008D1ED1" w:rsidP="008D1ED1">
      <w:pPr>
        <w:pStyle w:val="NoSpacing"/>
      </w:pPr>
    </w:p>
    <w:p w:rsidR="008D1ED1" w:rsidRDefault="008D1ED1" w:rsidP="008D1ED1">
      <w:pPr>
        <w:pStyle w:val="NoSpacing"/>
        <w:jc w:val="center"/>
      </w:pPr>
      <w:r w:rsidRPr="008D1ED1">
        <w:rPr>
          <w:noProof/>
        </w:rPr>
        <w:drawing>
          <wp:inline distT="0" distB="0" distL="0" distR="0" wp14:anchorId="407BBE7E" wp14:editId="6647BCBD">
            <wp:extent cx="5486400" cy="3200400"/>
            <wp:effectExtent l="0" t="0" r="19050" b="19050"/>
            <wp:docPr id="1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D1ED1" w:rsidRDefault="008D1ED1" w:rsidP="008D1ED1">
      <w:pPr>
        <w:pStyle w:val="NoSpacing"/>
      </w:pPr>
    </w:p>
    <w:p w:rsidR="008D1ED1" w:rsidRDefault="006523F2" w:rsidP="006523F2">
      <w:r>
        <w:t>More than four-fifths of the respondents</w:t>
      </w:r>
      <w:r w:rsidR="0040331A">
        <w:t xml:space="preserve"> in </w:t>
      </w:r>
      <w:r w:rsidR="002A479D">
        <w:t xml:space="preserve">2013 (84.5%), </w:t>
      </w:r>
      <w:r w:rsidR="00080CFB">
        <w:t xml:space="preserve">2012 (84.5%), </w:t>
      </w:r>
      <w:r w:rsidR="0040331A">
        <w:t>2011 (82.8%)</w:t>
      </w:r>
      <w:r w:rsidR="00080CFB">
        <w:t>,</w:t>
      </w:r>
      <w:r w:rsidR="0040331A">
        <w:t xml:space="preserve"> and 2010 (81.7%) </w:t>
      </w:r>
      <w:r>
        <w:t xml:space="preserve">indicate that when they call the College of Dentistry they are greeted by an individual who is “Always considerate.”  </w:t>
      </w:r>
      <w:r w:rsidR="002A479D">
        <w:t>The average response in 2013 is 4.79</w:t>
      </w:r>
      <w:r w:rsidR="008D1ED1">
        <w:t>.</w:t>
      </w:r>
    </w:p>
    <w:p w:rsidR="008D1ED1" w:rsidRDefault="008D1ED1" w:rsidP="008D1ED1">
      <w:pPr>
        <w:pStyle w:val="NoSpacing"/>
      </w:pPr>
    </w:p>
    <w:p w:rsidR="008D1ED1" w:rsidRDefault="008D1ED1">
      <w:pPr>
        <w:spacing w:after="200" w:line="276" w:lineRule="auto"/>
      </w:pPr>
      <w:r>
        <w:br w:type="page"/>
      </w:r>
    </w:p>
    <w:p w:rsidR="008D1ED1" w:rsidRDefault="008D1ED1" w:rsidP="008D1ED1">
      <w:pPr>
        <w:pStyle w:val="Heading2"/>
      </w:pPr>
      <w:bookmarkStart w:id="30" w:name="_Toc383680510"/>
      <w:r>
        <w:lastRenderedPageBreak/>
        <w:t>Treatment by Staff (2010</w:t>
      </w:r>
      <w:r w:rsidR="00FF0148">
        <w:t>-</w:t>
      </w:r>
      <w:r w:rsidR="0040331A">
        <w:t>201</w:t>
      </w:r>
      <w:r w:rsidR="002A479D">
        <w:t>3</w:t>
      </w:r>
      <w:r>
        <w:t>)</w:t>
      </w:r>
      <w:bookmarkEnd w:id="30"/>
    </w:p>
    <w:p w:rsidR="008D1ED1" w:rsidRDefault="008D1ED1" w:rsidP="008D1ED1">
      <w:pPr>
        <w:pStyle w:val="NoSpacing"/>
      </w:pPr>
    </w:p>
    <w:p w:rsidR="008D1ED1" w:rsidRDefault="008D1ED1" w:rsidP="008D1ED1">
      <w:pPr>
        <w:pStyle w:val="NoSpacing"/>
        <w:jc w:val="center"/>
      </w:pPr>
      <w:r>
        <w:t>Patients were asked: “</w:t>
      </w:r>
      <w:r w:rsidRPr="008D1ED1">
        <w:rPr>
          <w:i/>
        </w:rPr>
        <w:t xml:space="preserve">During my appointments, I feel that the </w:t>
      </w:r>
      <w:proofErr w:type="gramStart"/>
      <w:r w:rsidRPr="008D1ED1">
        <w:rPr>
          <w:i/>
        </w:rPr>
        <w:t>staff are</w:t>
      </w:r>
      <w:proofErr w:type="gramEnd"/>
      <w:r w:rsidRPr="008D1ED1">
        <w:rPr>
          <w:i/>
        </w:rPr>
        <w:t>… 5 (always considerate and caring) to 1 (usually rude)</w:t>
      </w:r>
      <w:r>
        <w:rPr>
          <w:i/>
        </w:rPr>
        <w:t>.</w:t>
      </w:r>
      <w:r>
        <w:t>”</w:t>
      </w:r>
    </w:p>
    <w:p w:rsidR="008D1ED1" w:rsidRDefault="008D1ED1" w:rsidP="008D1ED1">
      <w:pPr>
        <w:pStyle w:val="NoSpacing"/>
      </w:pPr>
    </w:p>
    <w:p w:rsidR="008D1ED1" w:rsidRDefault="008D1ED1" w:rsidP="008D1ED1">
      <w:pPr>
        <w:pStyle w:val="NoSpacing"/>
        <w:jc w:val="center"/>
      </w:pPr>
      <w:r w:rsidRPr="008D1ED1">
        <w:rPr>
          <w:noProof/>
        </w:rPr>
        <w:drawing>
          <wp:inline distT="0" distB="0" distL="0" distR="0" wp14:anchorId="69209E1C" wp14:editId="235E9741">
            <wp:extent cx="5486400" cy="3200400"/>
            <wp:effectExtent l="0" t="0" r="19050" b="19050"/>
            <wp:docPr id="19"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D1ED1" w:rsidRDefault="008D1ED1" w:rsidP="008D1ED1">
      <w:pPr>
        <w:pStyle w:val="NoSpacing"/>
      </w:pPr>
    </w:p>
    <w:p w:rsidR="008D1ED1" w:rsidRDefault="006523F2" w:rsidP="006523F2">
      <w:r>
        <w:t>Almost all of the respondents</w:t>
      </w:r>
      <w:r w:rsidR="0040331A">
        <w:t xml:space="preserve"> in </w:t>
      </w:r>
      <w:r w:rsidR="006E29A0">
        <w:t>2013 (92.1</w:t>
      </w:r>
      <w:r w:rsidR="002A479D">
        <w:t xml:space="preserve">%), </w:t>
      </w:r>
      <w:r w:rsidR="00FF0148">
        <w:t xml:space="preserve">2012 (92.1%), </w:t>
      </w:r>
      <w:r w:rsidR="0040331A">
        <w:t>2011 (90.6%)</w:t>
      </w:r>
      <w:r w:rsidR="00FF0148">
        <w:t>,</w:t>
      </w:r>
      <w:r w:rsidR="0040331A">
        <w:t xml:space="preserve"> and 2010 (87.9%) </w:t>
      </w:r>
      <w:r>
        <w:t xml:space="preserve">indicate that during their appointments the staff are “Always considerate.”  </w:t>
      </w:r>
      <w:r w:rsidR="008D1ED1">
        <w:t>The average response</w:t>
      </w:r>
      <w:r w:rsidR="002A479D">
        <w:t xml:space="preserve"> in 2013</w:t>
      </w:r>
      <w:r w:rsidR="00B75308">
        <w:t xml:space="preserve"> is </w:t>
      </w:r>
      <w:r w:rsidR="00B706C6">
        <w:t>4.91</w:t>
      </w:r>
      <w:r w:rsidR="008D1ED1">
        <w:t>.</w:t>
      </w:r>
    </w:p>
    <w:p w:rsidR="008D1ED1" w:rsidRDefault="008D1ED1" w:rsidP="008D1ED1">
      <w:pPr>
        <w:pStyle w:val="NoSpacing"/>
      </w:pPr>
    </w:p>
    <w:p w:rsidR="00387A4D" w:rsidRDefault="00387A4D">
      <w:pPr>
        <w:spacing w:after="200" w:line="276" w:lineRule="auto"/>
      </w:pPr>
      <w:r>
        <w:br w:type="page"/>
      </w:r>
    </w:p>
    <w:p w:rsidR="008D1ED1" w:rsidRDefault="00387A4D" w:rsidP="00387A4D">
      <w:pPr>
        <w:pStyle w:val="Heading1"/>
      </w:pPr>
      <w:bookmarkStart w:id="31" w:name="_Toc383680511"/>
      <w:r>
        <w:lastRenderedPageBreak/>
        <w:t>Comments</w:t>
      </w:r>
      <w:bookmarkEnd w:id="31"/>
    </w:p>
    <w:p w:rsidR="00387A4D" w:rsidRDefault="00994E5B" w:rsidP="00387A4D">
      <w:pPr>
        <w:pStyle w:val="Heading2"/>
      </w:pPr>
      <w:bookmarkStart w:id="32" w:name="_Toc383680512"/>
      <w:r>
        <w:t>What do you like most?</w:t>
      </w:r>
      <w:bookmarkEnd w:id="32"/>
    </w:p>
    <w:p w:rsidR="00387A4D" w:rsidRDefault="00387A4D" w:rsidP="00387A4D"/>
    <w:p w:rsidR="00387A4D" w:rsidRDefault="00387A4D" w:rsidP="00387A4D">
      <w:pPr>
        <w:pStyle w:val="NoSpacing"/>
        <w:jc w:val="center"/>
      </w:pPr>
      <w:r>
        <w:t>Patients were asked: “</w:t>
      </w:r>
      <w:r w:rsidRPr="00387A4D">
        <w:rPr>
          <w:i/>
        </w:rPr>
        <w:t>What do you like most about coming to the College of Dentistry?</w:t>
      </w:r>
      <w:r>
        <w:t>”</w:t>
      </w:r>
    </w:p>
    <w:p w:rsidR="00173BE8" w:rsidRDefault="00173BE8" w:rsidP="00387A4D">
      <w:pPr>
        <w:pStyle w:val="NoSpacing"/>
        <w:jc w:val="center"/>
      </w:pPr>
      <w:r>
        <w:t>(Respondents could provide multiple responses.)</w:t>
      </w:r>
    </w:p>
    <w:p w:rsidR="00EE6876" w:rsidRDefault="00EE6876" w:rsidP="00387A4D">
      <w:pPr>
        <w:pStyle w:val="NoSpacing"/>
        <w:jc w:val="center"/>
      </w:pPr>
    </w:p>
    <w:p w:rsidR="00EE6876" w:rsidRDefault="00994E5B" w:rsidP="00387A4D">
      <w:pPr>
        <w:pStyle w:val="NoSpacing"/>
        <w:jc w:val="center"/>
      </w:pPr>
      <w:r w:rsidRPr="00994E5B">
        <w:rPr>
          <w:noProof/>
        </w:rPr>
        <w:drawing>
          <wp:inline distT="0" distB="0" distL="0" distR="0" wp14:anchorId="7EDD4E7C" wp14:editId="0B18DBE4">
            <wp:extent cx="5486400" cy="3200400"/>
            <wp:effectExtent l="0" t="0" r="19050" b="19050"/>
            <wp:docPr id="2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87A4D" w:rsidRDefault="00387A4D" w:rsidP="00387A4D">
      <w:pPr>
        <w:pStyle w:val="NoSpacing"/>
      </w:pPr>
    </w:p>
    <w:p w:rsidR="00387A4D" w:rsidRDefault="00F940EB" w:rsidP="00F940EB">
      <w:pPr>
        <w:pStyle w:val="NoSpacing"/>
      </w:pPr>
      <w:r>
        <w:t>On average, about 30 percent of the comments respondents offered about what they like most about coming to the College of Dentistry relate to the quality of the care they receive</w:t>
      </w:r>
      <w:r w:rsidR="00173BE8">
        <w:t>,</w:t>
      </w:r>
      <w:r>
        <w:t xml:space="preserve"> the trust they have in the UF College of Dentistry</w:t>
      </w:r>
      <w:r w:rsidR="00173BE8">
        <w:t xml:space="preserve">, the expertise offered, or the fact that the College offers the newest or best treatment.  </w:t>
      </w:r>
      <w:r>
        <w:t>On average, about one-</w:t>
      </w:r>
      <w:r w:rsidR="00173BE8">
        <w:t>quarter o</w:t>
      </w:r>
      <w:r w:rsidR="00887EAB">
        <w:t>f the</w:t>
      </w:r>
      <w:r w:rsidR="00173BE8">
        <w:t xml:space="preserve"> responses cite</w:t>
      </w:r>
      <w:r>
        <w:t xml:space="preserve"> </w:t>
      </w:r>
      <w:r w:rsidR="00173BE8">
        <w:t>the friendliness, professionalism, and concern of those at the College of Dentistry, and about one-fifth</w:t>
      </w:r>
      <w:r w:rsidR="00887EAB">
        <w:t xml:space="preserve"> to one-quarter</w:t>
      </w:r>
      <w:r w:rsidR="00173BE8">
        <w:t xml:space="preserve"> specifically reference the students, dentists, or staff.  About one-</w:t>
      </w:r>
      <w:r w:rsidR="00887EAB">
        <w:t>eighth</w:t>
      </w:r>
      <w:r w:rsidR="00173BE8">
        <w:t xml:space="preserve"> of the comments note </w:t>
      </w:r>
      <w:r>
        <w:t>the reasonable costs as what is most liked.</w:t>
      </w:r>
    </w:p>
    <w:p w:rsidR="00173BE8" w:rsidRDefault="00173BE8" w:rsidP="00F940EB">
      <w:pPr>
        <w:pStyle w:val="NoSpacing"/>
      </w:pPr>
    </w:p>
    <w:p w:rsidR="00173BE8" w:rsidRDefault="00173BE8" w:rsidP="00F940EB">
      <w:pPr>
        <w:pStyle w:val="NoSpacing"/>
      </w:pPr>
      <w:r>
        <w:t>In 201</w:t>
      </w:r>
      <w:r w:rsidR="00785A35">
        <w:t>3</w:t>
      </w:r>
      <w:r>
        <w:t xml:space="preserve">, </w:t>
      </w:r>
      <w:r w:rsidR="00887EAB">
        <w:t>nearly</w:t>
      </w:r>
      <w:r>
        <w:t xml:space="preserve"> one-third (3</w:t>
      </w:r>
      <w:r w:rsidR="00785A35">
        <w:t>2.7</w:t>
      </w:r>
      <w:r>
        <w:t>%) of the comments relate to the quality of the care received, while more than one-</w:t>
      </w:r>
      <w:r w:rsidR="00785A35">
        <w:t>third</w:t>
      </w:r>
      <w:r>
        <w:t xml:space="preserve"> (</w:t>
      </w:r>
      <w:r w:rsidR="00785A35">
        <w:t>35.8</w:t>
      </w:r>
      <w:r>
        <w:t xml:space="preserve">%) relate to the friendliness or professionalism of the staff.  </w:t>
      </w:r>
      <w:r w:rsidR="00887EAB">
        <w:t xml:space="preserve">Additionally, </w:t>
      </w:r>
      <w:r w:rsidR="00785A35">
        <w:t>about</w:t>
      </w:r>
      <w:r w:rsidR="00887EAB">
        <w:t xml:space="preserve"> </w:t>
      </w:r>
      <w:r>
        <w:t>one-</w:t>
      </w:r>
      <w:r w:rsidR="00785A35">
        <w:t>sixth</w:t>
      </w:r>
      <w:r>
        <w:t xml:space="preserve"> (</w:t>
      </w:r>
      <w:r w:rsidR="00887EAB">
        <w:t>1</w:t>
      </w:r>
      <w:r w:rsidR="00785A35">
        <w:t>6.3</w:t>
      </w:r>
      <w:r>
        <w:t xml:space="preserve">%) of the comments relate specifically to the students, dentists, and staff, and </w:t>
      </w:r>
      <w:r w:rsidR="00887EAB">
        <w:t xml:space="preserve">about </w:t>
      </w:r>
      <w:r>
        <w:t>one-</w:t>
      </w:r>
      <w:r w:rsidR="00785A35">
        <w:t>tenth</w:t>
      </w:r>
      <w:r>
        <w:t xml:space="preserve"> (1</w:t>
      </w:r>
      <w:r w:rsidR="00785A35">
        <w:t>0.1</w:t>
      </w:r>
      <w:r>
        <w:t>%) refer to the affordability of services.</w:t>
      </w:r>
    </w:p>
    <w:p w:rsidR="00387A4D" w:rsidRDefault="00387A4D" w:rsidP="00387A4D">
      <w:pPr>
        <w:pStyle w:val="NoSpacing"/>
      </w:pPr>
    </w:p>
    <w:p w:rsidR="00173BE8" w:rsidRDefault="00173BE8" w:rsidP="00173BE8">
      <w:pPr>
        <w:spacing w:after="200" w:line="276" w:lineRule="auto"/>
      </w:pPr>
      <w:r>
        <w:t>The following are si</w:t>
      </w:r>
      <w:r w:rsidR="00887EAB">
        <w:t>zable groupings of “Other” (20</w:t>
      </w:r>
      <w:r w:rsidR="00785A35">
        <w:t>.3</w:t>
      </w:r>
      <w:r>
        <w:t>%) types of responses provided to describe what patients like most about the UF College of Dentistry:</w:t>
      </w:r>
    </w:p>
    <w:p w:rsidR="00173BE8" w:rsidRDefault="00173BE8" w:rsidP="00173BE8">
      <w:pPr>
        <w:pStyle w:val="ListParagraph"/>
        <w:numPr>
          <w:ilvl w:val="0"/>
          <w:numId w:val="6"/>
        </w:numPr>
        <w:spacing w:after="200" w:line="276" w:lineRule="auto"/>
      </w:pPr>
      <w:r>
        <w:t>Convenience</w:t>
      </w:r>
      <w:r w:rsidR="00887EAB">
        <w:t xml:space="preserve">/Location, Ease of Service, Promptness </w:t>
      </w:r>
    </w:p>
    <w:p w:rsidR="008343CF" w:rsidRDefault="008343CF" w:rsidP="00173BE8">
      <w:pPr>
        <w:pStyle w:val="ListParagraph"/>
        <w:numPr>
          <w:ilvl w:val="0"/>
          <w:numId w:val="6"/>
        </w:numPr>
        <w:spacing w:after="200" w:line="276" w:lineRule="auto"/>
      </w:pPr>
      <w:r>
        <w:t>Cleanlines</w:t>
      </w:r>
      <w:r w:rsidR="00785A35">
        <w:t xml:space="preserve">s, Environment/Atmosphere </w:t>
      </w:r>
    </w:p>
    <w:p w:rsidR="00173BE8" w:rsidRDefault="00F67E39" w:rsidP="00173BE8">
      <w:pPr>
        <w:pStyle w:val="ListParagraph"/>
        <w:numPr>
          <w:ilvl w:val="0"/>
          <w:numId w:val="6"/>
        </w:numPr>
        <w:spacing w:after="200" w:line="276" w:lineRule="auto"/>
      </w:pPr>
      <w:r>
        <w:t>“Everything” / All / A</w:t>
      </w:r>
      <w:r w:rsidR="008343CF">
        <w:t>lways a positive</w:t>
      </w:r>
      <w:r w:rsidR="00785A35">
        <w:t xml:space="preserve"> experience</w:t>
      </w:r>
    </w:p>
    <w:p w:rsidR="00173BE8" w:rsidRDefault="00F67E39" w:rsidP="00173BE8">
      <w:pPr>
        <w:pStyle w:val="ListParagraph"/>
        <w:numPr>
          <w:ilvl w:val="0"/>
          <w:numId w:val="6"/>
        </w:numPr>
        <w:spacing w:after="200" w:line="276" w:lineRule="auto"/>
      </w:pPr>
      <w:r>
        <w:t>Helping stu</w:t>
      </w:r>
      <w:r w:rsidR="00785A35">
        <w:t>dents with their education</w:t>
      </w:r>
    </w:p>
    <w:p w:rsidR="00243A5C" w:rsidRDefault="00243A5C" w:rsidP="00243A5C">
      <w:pPr>
        <w:pStyle w:val="Heading2"/>
      </w:pPr>
      <w:bookmarkStart w:id="33" w:name="_Toc383680513"/>
      <w:r>
        <w:lastRenderedPageBreak/>
        <w:t>Possible Impro</w:t>
      </w:r>
      <w:r w:rsidR="00525707">
        <w:t>vements</w:t>
      </w:r>
      <w:bookmarkEnd w:id="33"/>
    </w:p>
    <w:p w:rsidR="00243A5C" w:rsidRDefault="00243A5C" w:rsidP="00387A4D">
      <w:pPr>
        <w:pStyle w:val="NoSpacing"/>
      </w:pPr>
    </w:p>
    <w:p w:rsidR="00243A5C" w:rsidRDefault="00243A5C" w:rsidP="00243A5C">
      <w:pPr>
        <w:pStyle w:val="NoSpacing"/>
        <w:jc w:val="center"/>
      </w:pPr>
      <w:r>
        <w:t>Patients were asked: “</w:t>
      </w:r>
      <w:r w:rsidRPr="00243A5C">
        <w:rPr>
          <w:i/>
        </w:rPr>
        <w:t>What can we do to make your experience here more pleasant?</w:t>
      </w:r>
      <w:r>
        <w:t>”</w:t>
      </w:r>
    </w:p>
    <w:p w:rsidR="00243A5C" w:rsidRDefault="00243A5C" w:rsidP="00387A4D">
      <w:pPr>
        <w:pStyle w:val="NoSpacing"/>
      </w:pPr>
    </w:p>
    <w:p w:rsidR="00243A5C" w:rsidRDefault="00525707" w:rsidP="000352A7">
      <w:pPr>
        <w:pStyle w:val="NoSpacing"/>
        <w:jc w:val="center"/>
      </w:pPr>
      <w:r w:rsidRPr="00525707">
        <w:rPr>
          <w:noProof/>
        </w:rPr>
        <w:drawing>
          <wp:inline distT="0" distB="0" distL="0" distR="0" wp14:anchorId="53B8826F" wp14:editId="6870B689">
            <wp:extent cx="5486400" cy="3200400"/>
            <wp:effectExtent l="19050" t="0" r="19050" b="0"/>
            <wp:docPr id="2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43A5C" w:rsidRDefault="00243A5C" w:rsidP="00387A4D">
      <w:pPr>
        <w:pStyle w:val="NoSpacing"/>
      </w:pPr>
    </w:p>
    <w:p w:rsidR="00243A5C" w:rsidRDefault="00F940EB" w:rsidP="00387A4D">
      <w:pPr>
        <w:pStyle w:val="NoSpacing"/>
      </w:pPr>
      <w:r>
        <w:t xml:space="preserve">Overall, for </w:t>
      </w:r>
      <w:r w:rsidR="00E074AA">
        <w:t>all years</w:t>
      </w:r>
      <w:r>
        <w:t xml:space="preserve">, the majority of respondents note that they are currently satisfied </w:t>
      </w:r>
      <w:r w:rsidR="0031685D">
        <w:t xml:space="preserve">with </w:t>
      </w:r>
      <w:r>
        <w:t>their experiences at the UF College of Dentistry.  However, many patients cite possible improvements to the scheduling proc</w:t>
      </w:r>
      <w:r w:rsidR="00A6664A">
        <w:t xml:space="preserve">ess, the fees charged, parking </w:t>
      </w:r>
      <w:r>
        <w:t>availability, and several would like to see an expansion of locations where services are offered by the UF College of Dentistry.</w:t>
      </w:r>
    </w:p>
    <w:p w:rsidR="00431674" w:rsidRDefault="00431674" w:rsidP="00387A4D">
      <w:pPr>
        <w:pStyle w:val="NoSpacing"/>
      </w:pPr>
    </w:p>
    <w:p w:rsidR="00431674" w:rsidRDefault="00431674" w:rsidP="00387A4D">
      <w:pPr>
        <w:pStyle w:val="NoSpacing"/>
      </w:pPr>
    </w:p>
    <w:p w:rsidR="00431674" w:rsidRDefault="00431674" w:rsidP="00431674">
      <w:pPr>
        <w:pStyle w:val="NoSpacing"/>
        <w:jc w:val="center"/>
      </w:pPr>
      <w:r>
        <w:rPr>
          <w:noProof/>
        </w:rPr>
        <w:lastRenderedPageBreak/>
        <w:drawing>
          <wp:inline distT="0" distB="0" distL="0" distR="0" wp14:anchorId="47179A48" wp14:editId="6F86A74D">
            <wp:extent cx="5486400" cy="541020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31674" w:rsidRDefault="00431674" w:rsidP="00431674">
      <w:pPr>
        <w:pStyle w:val="NoSpacing"/>
      </w:pPr>
    </w:p>
    <w:p w:rsidR="009409F0" w:rsidRDefault="00431674" w:rsidP="00431674">
      <w:pPr>
        <w:pStyle w:val="NoSpacing"/>
      </w:pPr>
      <w:r>
        <w:t>Looking only at those patients who offered recomme</w:t>
      </w:r>
      <w:r w:rsidR="00924E0B">
        <w:t>nded areas of improvement (N=</w:t>
      </w:r>
      <w:r w:rsidR="003D1CC4">
        <w:t>231</w:t>
      </w:r>
      <w:r>
        <w:t>)</w:t>
      </w:r>
      <w:r w:rsidR="00387289">
        <w:t xml:space="preserve"> in 201</w:t>
      </w:r>
      <w:r w:rsidR="003D1CC4">
        <w:t>3</w:t>
      </w:r>
      <w:r>
        <w:t xml:space="preserve">, </w:t>
      </w:r>
      <w:r w:rsidR="009409F0">
        <w:t>nearly one-</w:t>
      </w:r>
      <w:r w:rsidR="005C0D7A">
        <w:t>quarter</w:t>
      </w:r>
      <w:r w:rsidR="009409F0">
        <w:t xml:space="preserve"> (</w:t>
      </w:r>
      <w:r w:rsidR="005C0D7A">
        <w:t>22.9</w:t>
      </w:r>
      <w:r w:rsidR="009409F0">
        <w:t xml:space="preserve">%) </w:t>
      </w:r>
      <w:r>
        <w:t>suggest improvements to the atmosphere of the waiting areas in the clinics</w:t>
      </w:r>
      <w:r w:rsidR="00924E0B">
        <w:t xml:space="preserve"> (such as reading materials, additional chairs, or televisions).  </w:t>
      </w:r>
    </w:p>
    <w:p w:rsidR="009409F0" w:rsidRDefault="009409F0" w:rsidP="00431674">
      <w:pPr>
        <w:pStyle w:val="NoSpacing"/>
      </w:pPr>
    </w:p>
    <w:p w:rsidR="00697E1F" w:rsidRDefault="005C0D7A" w:rsidP="00431674">
      <w:pPr>
        <w:pStyle w:val="NoSpacing"/>
      </w:pPr>
      <w:r>
        <w:t xml:space="preserve">About one-eighth (12.6%) of these respondents suggested improvements to fees.  </w:t>
      </w:r>
      <w:r w:rsidR="00924E0B">
        <w:t>About one-</w:t>
      </w:r>
      <w:r>
        <w:t>tenth (11.3%)</w:t>
      </w:r>
      <w:r w:rsidR="00697E1F">
        <w:t xml:space="preserve"> </w:t>
      </w:r>
      <w:r w:rsidR="00924E0B">
        <w:t xml:space="preserve">of these respondents suggest </w:t>
      </w:r>
      <w:r w:rsidR="00431674">
        <w:t xml:space="preserve">that improvements could be made </w:t>
      </w:r>
      <w:r w:rsidR="00697E1F">
        <w:t>in wait times and times to complete services</w:t>
      </w:r>
      <w:r>
        <w:t>.  L</w:t>
      </w:r>
      <w:r w:rsidR="00697E1F">
        <w:t xml:space="preserve">ess than one-tenth suggested changes </w:t>
      </w:r>
      <w:r>
        <w:t xml:space="preserve">in scheduling (8.7%) or </w:t>
      </w:r>
      <w:r w:rsidR="00697E1F">
        <w:t>to information or customer service (8</w:t>
      </w:r>
      <w:r>
        <w:t>.2</w:t>
      </w:r>
      <w:r w:rsidR="00697E1F">
        <w:t>%)</w:t>
      </w:r>
      <w:r>
        <w:t>.  Five percent or fewer of these respondents commented on available locations (4.3%), parking (3.9%)</w:t>
      </w:r>
      <w:r w:rsidR="00697E1F">
        <w:t xml:space="preserve">, </w:t>
      </w:r>
      <w:r>
        <w:t>or</w:t>
      </w:r>
      <w:r w:rsidR="00697E1F">
        <w:t xml:space="preserve"> cleanliness (</w:t>
      </w:r>
      <w:r>
        <w:t>1.7</w:t>
      </w:r>
      <w:r w:rsidR="00697E1F">
        <w:t>%).</w:t>
      </w:r>
    </w:p>
    <w:p w:rsidR="00697E1F" w:rsidRDefault="00697E1F" w:rsidP="00431674">
      <w:pPr>
        <w:pStyle w:val="NoSpacing"/>
      </w:pPr>
    </w:p>
    <w:p w:rsidR="00431674" w:rsidRDefault="00924E0B" w:rsidP="00431674">
      <w:pPr>
        <w:pStyle w:val="NoSpacing"/>
      </w:pPr>
      <w:r>
        <w:t>Notably, there is a sizable reduction in the percentage of patients suggesting a need for improvements to</w:t>
      </w:r>
      <w:r w:rsidR="00431674">
        <w:t xml:space="preserve"> the parking situation at the dental clinics</w:t>
      </w:r>
      <w:r>
        <w:t xml:space="preserve"> </w:t>
      </w:r>
      <w:r w:rsidR="005C0D7A">
        <w:t>since</w:t>
      </w:r>
      <w:r>
        <w:t xml:space="preserve"> 2010</w:t>
      </w:r>
      <w:r w:rsidR="00431674">
        <w:t xml:space="preserve">.  </w:t>
      </w:r>
    </w:p>
    <w:p w:rsidR="00A56BB2" w:rsidRDefault="00A56BB2" w:rsidP="00431674">
      <w:pPr>
        <w:pStyle w:val="NoSpacing"/>
      </w:pPr>
    </w:p>
    <w:p w:rsidR="00A56BB2" w:rsidRDefault="00A56BB2" w:rsidP="00A56BB2">
      <w:pPr>
        <w:pStyle w:val="Heading2"/>
      </w:pPr>
      <w:bookmarkStart w:id="34" w:name="_Toc383680514"/>
      <w:r>
        <w:lastRenderedPageBreak/>
        <w:t>Additional Comments</w:t>
      </w:r>
      <w:bookmarkEnd w:id="34"/>
    </w:p>
    <w:p w:rsidR="00A56BB2" w:rsidRDefault="00A56BB2" w:rsidP="00A56BB2"/>
    <w:p w:rsidR="00A56BB2" w:rsidRPr="00387289" w:rsidRDefault="00A56BB2" w:rsidP="00A56BB2">
      <w:pPr>
        <w:pStyle w:val="NoSpacing"/>
        <w:jc w:val="center"/>
        <w:rPr>
          <w:i/>
        </w:rPr>
      </w:pPr>
      <w:r>
        <w:t xml:space="preserve">Patients were asked: </w:t>
      </w:r>
      <w:r w:rsidRPr="00387289">
        <w:rPr>
          <w:i/>
        </w:rPr>
        <w:t>“Please share any additional comments or concerns with us.”</w:t>
      </w:r>
    </w:p>
    <w:p w:rsidR="00A56BB2" w:rsidRDefault="00A56BB2" w:rsidP="00A56BB2">
      <w:pPr>
        <w:pStyle w:val="NoSpacing"/>
        <w:jc w:val="center"/>
      </w:pPr>
    </w:p>
    <w:p w:rsidR="00A56BB2" w:rsidRDefault="00A56BB2" w:rsidP="00A56BB2">
      <w:pPr>
        <w:pStyle w:val="NoSpacing"/>
        <w:jc w:val="center"/>
      </w:pPr>
      <w:r>
        <w:rPr>
          <w:noProof/>
        </w:rPr>
        <w:drawing>
          <wp:inline distT="0" distB="0" distL="0" distR="0">
            <wp:extent cx="5486400" cy="3200400"/>
            <wp:effectExtent l="0" t="0" r="19050" b="190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56BB2" w:rsidRDefault="00A56BB2" w:rsidP="00A56BB2">
      <w:pPr>
        <w:pStyle w:val="NoSpacing"/>
      </w:pPr>
    </w:p>
    <w:p w:rsidR="00A56BB2" w:rsidRDefault="00A56BB2" w:rsidP="00A56BB2">
      <w:pPr>
        <w:pStyle w:val="NoSpacing"/>
      </w:pPr>
      <w:r>
        <w:t xml:space="preserve">Of the </w:t>
      </w:r>
      <w:r w:rsidR="00F60466">
        <w:t>310</w:t>
      </w:r>
      <w:r>
        <w:t xml:space="preserve"> comments provided about the UF College of Dentistry by surveyed patients, over four-fifths (8</w:t>
      </w:r>
      <w:r w:rsidR="00F60466">
        <w:t>4.5</w:t>
      </w:r>
      <w:r>
        <w:t>%) were positive.  About one-</w:t>
      </w:r>
      <w:r w:rsidR="000306FE">
        <w:t>fifth</w:t>
      </w:r>
      <w:r>
        <w:t xml:space="preserve"> (1</w:t>
      </w:r>
      <w:r w:rsidR="00F60466">
        <w:t>5.5</w:t>
      </w:r>
      <w:r>
        <w:t>%) of the comments focus</w:t>
      </w:r>
      <w:r w:rsidR="000306FE">
        <w:t>ed</w:t>
      </w:r>
      <w:r>
        <w:t xml:space="preserve"> on areas in which the College could improve or particular issues that the patient may have experienced.</w:t>
      </w:r>
    </w:p>
    <w:p w:rsidR="00A56BB2" w:rsidRPr="00A56BB2" w:rsidRDefault="00A56BB2" w:rsidP="00A56BB2">
      <w:pPr>
        <w:pStyle w:val="NoSpacing"/>
      </w:pPr>
    </w:p>
    <w:p w:rsidR="00A56BB2" w:rsidRPr="00387A4D" w:rsidRDefault="00A56BB2" w:rsidP="00431674">
      <w:pPr>
        <w:pStyle w:val="NoSpacing"/>
      </w:pPr>
    </w:p>
    <w:sectPr w:rsidR="00A56BB2" w:rsidRPr="00387A4D" w:rsidSect="0019191A">
      <w:headerReference w:type="default" r:id="rId41"/>
      <w:footerReference w:type="default" r:id="rId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B9F" w:rsidRDefault="00994B9F" w:rsidP="00C917F1">
      <w:r>
        <w:separator/>
      </w:r>
    </w:p>
  </w:endnote>
  <w:endnote w:type="continuationSeparator" w:id="0">
    <w:p w:rsidR="00994B9F" w:rsidRDefault="00994B9F" w:rsidP="00C9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62B98">
      <w:tc>
        <w:tcPr>
          <w:tcW w:w="918" w:type="dxa"/>
        </w:tcPr>
        <w:p w:rsidR="00A62B98" w:rsidRPr="00C917F1" w:rsidRDefault="00A62B98">
          <w:pPr>
            <w:pStyle w:val="Footer"/>
            <w:jc w:val="right"/>
            <w:rPr>
              <w:b/>
              <w:sz w:val="24"/>
              <w:szCs w:val="24"/>
            </w:rPr>
          </w:pPr>
          <w:r w:rsidRPr="00C917F1">
            <w:rPr>
              <w:sz w:val="24"/>
              <w:szCs w:val="24"/>
            </w:rPr>
            <w:fldChar w:fldCharType="begin"/>
          </w:r>
          <w:r w:rsidRPr="00C917F1">
            <w:rPr>
              <w:sz w:val="24"/>
              <w:szCs w:val="24"/>
            </w:rPr>
            <w:instrText xml:space="preserve"> PAGE   \* MERGEFORMAT </w:instrText>
          </w:r>
          <w:r w:rsidRPr="00C917F1">
            <w:rPr>
              <w:sz w:val="24"/>
              <w:szCs w:val="24"/>
            </w:rPr>
            <w:fldChar w:fldCharType="separate"/>
          </w:r>
          <w:r w:rsidR="0034703C" w:rsidRPr="0034703C">
            <w:rPr>
              <w:b/>
              <w:noProof/>
              <w:sz w:val="24"/>
              <w:szCs w:val="24"/>
            </w:rPr>
            <w:t>3</w:t>
          </w:r>
          <w:r w:rsidRPr="00C917F1">
            <w:rPr>
              <w:sz w:val="24"/>
              <w:szCs w:val="24"/>
            </w:rPr>
            <w:fldChar w:fldCharType="end"/>
          </w:r>
        </w:p>
      </w:tc>
      <w:tc>
        <w:tcPr>
          <w:tcW w:w="7938" w:type="dxa"/>
        </w:tcPr>
        <w:p w:rsidR="00A62B98" w:rsidRPr="00C917F1" w:rsidRDefault="00A62B98">
          <w:pPr>
            <w:pStyle w:val="Footer"/>
            <w:rPr>
              <w:sz w:val="24"/>
              <w:szCs w:val="24"/>
            </w:rPr>
          </w:pPr>
          <w:r w:rsidRPr="00C917F1">
            <w:rPr>
              <w:sz w:val="24"/>
              <w:szCs w:val="24"/>
            </w:rPr>
            <w:t>University of Florida College of Dentistry</w:t>
          </w:r>
        </w:p>
      </w:tc>
    </w:tr>
  </w:tbl>
  <w:p w:rsidR="00A62B98" w:rsidRDefault="00A62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B9F" w:rsidRDefault="00994B9F" w:rsidP="00C917F1">
      <w:r>
        <w:separator/>
      </w:r>
    </w:p>
  </w:footnote>
  <w:footnote w:type="continuationSeparator" w:id="0">
    <w:p w:rsidR="00994B9F" w:rsidRDefault="00994B9F" w:rsidP="00C91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98" w:rsidRPr="00C917F1" w:rsidRDefault="00A62B98">
    <w:pPr>
      <w:pStyle w:val="Header"/>
      <w:rPr>
        <w:sz w:val="28"/>
        <w:szCs w:val="28"/>
      </w:rPr>
    </w:pPr>
    <w:r w:rsidRPr="00C917F1">
      <w:rPr>
        <w:sz w:val="28"/>
        <w:szCs w:val="28"/>
      </w:rPr>
      <w:t>Patient Satisfaction Survey Results: 200</w:t>
    </w:r>
    <w:r>
      <w:rPr>
        <w:sz w:val="28"/>
        <w:szCs w:val="28"/>
      </w:rPr>
      <w:t>9</w:t>
    </w:r>
    <w:r w:rsidRPr="00C917F1">
      <w:rPr>
        <w:sz w:val="28"/>
        <w:szCs w:val="28"/>
      </w:rPr>
      <w:t>-201</w:t>
    </w:r>
    <w:r>
      <w:rPr>
        <w:sz w:val="28"/>
        <w:szCs w:val="28"/>
      </w:rPr>
      <w:t>3</w:t>
    </w:r>
    <w:r w:rsidRPr="00C917F1">
      <w:rPr>
        <w:sz w:val="28"/>
        <w:szCs w:val="28"/>
      </w:rPr>
      <w:t xml:space="preserve"> </w:t>
    </w:r>
  </w:p>
  <w:p w:rsidR="00A62B98" w:rsidRDefault="00A62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v:imagedata r:id="rId1" o:title="MC900013130[1]"/>
      </v:shape>
    </w:pict>
  </w:numPicBullet>
  <w:abstractNum w:abstractNumId="0">
    <w:nsid w:val="31875126"/>
    <w:multiLevelType w:val="hybridMultilevel"/>
    <w:tmpl w:val="A73C160E"/>
    <w:lvl w:ilvl="0" w:tplc="BCBC07C6">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345" w:hanging="360"/>
      </w:pPr>
      <w:rPr>
        <w:rFonts w:ascii="Wingdings" w:hAnsi="Wingdings" w:hint="default"/>
      </w:rPr>
    </w:lvl>
    <w:lvl w:ilvl="3" w:tplc="04090001" w:tentative="1">
      <w:start w:val="1"/>
      <w:numFmt w:val="bullet"/>
      <w:lvlText w:val=""/>
      <w:lvlJc w:val="left"/>
      <w:pPr>
        <w:ind w:left="375" w:hanging="360"/>
      </w:pPr>
      <w:rPr>
        <w:rFonts w:ascii="Symbol" w:hAnsi="Symbol" w:hint="default"/>
      </w:rPr>
    </w:lvl>
    <w:lvl w:ilvl="4" w:tplc="04090003" w:tentative="1">
      <w:start w:val="1"/>
      <w:numFmt w:val="bullet"/>
      <w:lvlText w:val="o"/>
      <w:lvlJc w:val="left"/>
      <w:pPr>
        <w:ind w:left="1095" w:hanging="360"/>
      </w:pPr>
      <w:rPr>
        <w:rFonts w:ascii="Courier New" w:hAnsi="Courier New" w:cs="Courier New" w:hint="default"/>
      </w:rPr>
    </w:lvl>
    <w:lvl w:ilvl="5" w:tplc="04090005" w:tentative="1">
      <w:start w:val="1"/>
      <w:numFmt w:val="bullet"/>
      <w:lvlText w:val=""/>
      <w:lvlJc w:val="left"/>
      <w:pPr>
        <w:ind w:left="1815" w:hanging="360"/>
      </w:pPr>
      <w:rPr>
        <w:rFonts w:ascii="Wingdings" w:hAnsi="Wingdings" w:hint="default"/>
      </w:rPr>
    </w:lvl>
    <w:lvl w:ilvl="6" w:tplc="04090001" w:tentative="1">
      <w:start w:val="1"/>
      <w:numFmt w:val="bullet"/>
      <w:lvlText w:val=""/>
      <w:lvlJc w:val="left"/>
      <w:pPr>
        <w:ind w:left="2535" w:hanging="360"/>
      </w:pPr>
      <w:rPr>
        <w:rFonts w:ascii="Symbol" w:hAnsi="Symbol" w:hint="default"/>
      </w:rPr>
    </w:lvl>
    <w:lvl w:ilvl="7" w:tplc="04090003" w:tentative="1">
      <w:start w:val="1"/>
      <w:numFmt w:val="bullet"/>
      <w:lvlText w:val="o"/>
      <w:lvlJc w:val="left"/>
      <w:pPr>
        <w:ind w:left="3255" w:hanging="360"/>
      </w:pPr>
      <w:rPr>
        <w:rFonts w:ascii="Courier New" w:hAnsi="Courier New" w:cs="Courier New" w:hint="default"/>
      </w:rPr>
    </w:lvl>
    <w:lvl w:ilvl="8" w:tplc="04090005" w:tentative="1">
      <w:start w:val="1"/>
      <w:numFmt w:val="bullet"/>
      <w:lvlText w:val=""/>
      <w:lvlJc w:val="left"/>
      <w:pPr>
        <w:ind w:left="3975" w:hanging="360"/>
      </w:pPr>
      <w:rPr>
        <w:rFonts w:ascii="Wingdings" w:hAnsi="Wingdings" w:hint="default"/>
      </w:rPr>
    </w:lvl>
  </w:abstractNum>
  <w:abstractNum w:abstractNumId="1">
    <w:nsid w:val="4C1204CC"/>
    <w:multiLevelType w:val="hybridMultilevel"/>
    <w:tmpl w:val="7C36B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9130B2"/>
    <w:multiLevelType w:val="hybridMultilevel"/>
    <w:tmpl w:val="D690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346BC"/>
    <w:multiLevelType w:val="hybridMultilevel"/>
    <w:tmpl w:val="AF247522"/>
    <w:lvl w:ilvl="0" w:tplc="BCBC07C6">
      <w:start w:val="1"/>
      <w:numFmt w:val="bullet"/>
      <w:lvlText w:val=""/>
      <w:lvlPicBulletId w:val="0"/>
      <w:lvlJc w:val="left"/>
      <w:pPr>
        <w:ind w:left="358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226221"/>
    <w:multiLevelType w:val="hybridMultilevel"/>
    <w:tmpl w:val="C66A5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CD6D6A"/>
    <w:multiLevelType w:val="hybridMultilevel"/>
    <w:tmpl w:val="72D01E52"/>
    <w:lvl w:ilvl="0" w:tplc="BCBC07C6">
      <w:start w:val="1"/>
      <w:numFmt w:val="bullet"/>
      <w:lvlText w:val=""/>
      <w:lvlPicBulletId w:val="0"/>
      <w:lvlJc w:val="left"/>
      <w:pPr>
        <w:ind w:left="4305"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F1"/>
    <w:rsid w:val="00002E06"/>
    <w:rsid w:val="000218EF"/>
    <w:rsid w:val="00022227"/>
    <w:rsid w:val="00026BC3"/>
    <w:rsid w:val="000306FE"/>
    <w:rsid w:val="0003092B"/>
    <w:rsid w:val="00030D60"/>
    <w:rsid w:val="000352A7"/>
    <w:rsid w:val="00052B9F"/>
    <w:rsid w:val="00055EB6"/>
    <w:rsid w:val="000561DA"/>
    <w:rsid w:val="00064EAA"/>
    <w:rsid w:val="000769DE"/>
    <w:rsid w:val="00080CFB"/>
    <w:rsid w:val="00087656"/>
    <w:rsid w:val="000A15A2"/>
    <w:rsid w:val="000A494E"/>
    <w:rsid w:val="000A50B7"/>
    <w:rsid w:val="000B17D4"/>
    <w:rsid w:val="000C10DF"/>
    <w:rsid w:val="000D5521"/>
    <w:rsid w:val="000E0299"/>
    <w:rsid w:val="000F00FD"/>
    <w:rsid w:val="000F126B"/>
    <w:rsid w:val="000F3D9B"/>
    <w:rsid w:val="00102A50"/>
    <w:rsid w:val="00106986"/>
    <w:rsid w:val="0011534C"/>
    <w:rsid w:val="00120FB8"/>
    <w:rsid w:val="00136DC4"/>
    <w:rsid w:val="001409ED"/>
    <w:rsid w:val="0014530D"/>
    <w:rsid w:val="00165C1B"/>
    <w:rsid w:val="00173BE8"/>
    <w:rsid w:val="00176027"/>
    <w:rsid w:val="001857B6"/>
    <w:rsid w:val="0019191A"/>
    <w:rsid w:val="00194164"/>
    <w:rsid w:val="0019654A"/>
    <w:rsid w:val="001A1337"/>
    <w:rsid w:val="001B3C23"/>
    <w:rsid w:val="001B4B76"/>
    <w:rsid w:val="001D1DD6"/>
    <w:rsid w:val="00206263"/>
    <w:rsid w:val="00215D01"/>
    <w:rsid w:val="00237B59"/>
    <w:rsid w:val="00243A5C"/>
    <w:rsid w:val="00253B95"/>
    <w:rsid w:val="00261349"/>
    <w:rsid w:val="00285889"/>
    <w:rsid w:val="002866C8"/>
    <w:rsid w:val="002956AC"/>
    <w:rsid w:val="002A479D"/>
    <w:rsid w:val="002A78D3"/>
    <w:rsid w:val="002B5762"/>
    <w:rsid w:val="002C3ABB"/>
    <w:rsid w:val="002D1A68"/>
    <w:rsid w:val="002E19BB"/>
    <w:rsid w:val="002F1E30"/>
    <w:rsid w:val="0030458A"/>
    <w:rsid w:val="0031193A"/>
    <w:rsid w:val="0031685D"/>
    <w:rsid w:val="00320FDE"/>
    <w:rsid w:val="00325AE2"/>
    <w:rsid w:val="00325E9C"/>
    <w:rsid w:val="003307C4"/>
    <w:rsid w:val="00331E5E"/>
    <w:rsid w:val="00334DB0"/>
    <w:rsid w:val="00336F8B"/>
    <w:rsid w:val="00337C64"/>
    <w:rsid w:val="0034703C"/>
    <w:rsid w:val="0035359A"/>
    <w:rsid w:val="00357E53"/>
    <w:rsid w:val="00360E60"/>
    <w:rsid w:val="00361497"/>
    <w:rsid w:val="0036372E"/>
    <w:rsid w:val="00375E9F"/>
    <w:rsid w:val="00382821"/>
    <w:rsid w:val="00385D6C"/>
    <w:rsid w:val="00387289"/>
    <w:rsid w:val="00387A4D"/>
    <w:rsid w:val="00395DB0"/>
    <w:rsid w:val="003A77F2"/>
    <w:rsid w:val="003B45B8"/>
    <w:rsid w:val="003B6599"/>
    <w:rsid w:val="003C3E61"/>
    <w:rsid w:val="003D065C"/>
    <w:rsid w:val="003D1CC4"/>
    <w:rsid w:val="003D4520"/>
    <w:rsid w:val="003D7AB8"/>
    <w:rsid w:val="004023D2"/>
    <w:rsid w:val="0040331A"/>
    <w:rsid w:val="004140BB"/>
    <w:rsid w:val="00425A89"/>
    <w:rsid w:val="00431674"/>
    <w:rsid w:val="00433305"/>
    <w:rsid w:val="00444025"/>
    <w:rsid w:val="00454F0A"/>
    <w:rsid w:val="00463007"/>
    <w:rsid w:val="004723E0"/>
    <w:rsid w:val="00473558"/>
    <w:rsid w:val="00473587"/>
    <w:rsid w:val="00473BF6"/>
    <w:rsid w:val="0048725B"/>
    <w:rsid w:val="00491A75"/>
    <w:rsid w:val="0049232B"/>
    <w:rsid w:val="004B45EE"/>
    <w:rsid w:val="004C5BE8"/>
    <w:rsid w:val="004D1352"/>
    <w:rsid w:val="004D1AB9"/>
    <w:rsid w:val="004D227D"/>
    <w:rsid w:val="004E6162"/>
    <w:rsid w:val="004F161E"/>
    <w:rsid w:val="004F7230"/>
    <w:rsid w:val="005035CF"/>
    <w:rsid w:val="0050363B"/>
    <w:rsid w:val="00510278"/>
    <w:rsid w:val="0051042B"/>
    <w:rsid w:val="00520054"/>
    <w:rsid w:val="00523A60"/>
    <w:rsid w:val="00524548"/>
    <w:rsid w:val="00525707"/>
    <w:rsid w:val="00525D03"/>
    <w:rsid w:val="00545BCC"/>
    <w:rsid w:val="00547666"/>
    <w:rsid w:val="00547A0B"/>
    <w:rsid w:val="0056277A"/>
    <w:rsid w:val="00566A94"/>
    <w:rsid w:val="005745C8"/>
    <w:rsid w:val="00577193"/>
    <w:rsid w:val="00597D17"/>
    <w:rsid w:val="005C0D7A"/>
    <w:rsid w:val="005C629F"/>
    <w:rsid w:val="005D2F76"/>
    <w:rsid w:val="005F03BC"/>
    <w:rsid w:val="00615DDF"/>
    <w:rsid w:val="0062004E"/>
    <w:rsid w:val="0063288A"/>
    <w:rsid w:val="00642350"/>
    <w:rsid w:val="00643A2B"/>
    <w:rsid w:val="00650FE2"/>
    <w:rsid w:val="006523F2"/>
    <w:rsid w:val="00655E59"/>
    <w:rsid w:val="006721B7"/>
    <w:rsid w:val="0068132B"/>
    <w:rsid w:val="00682E9A"/>
    <w:rsid w:val="00683E84"/>
    <w:rsid w:val="00697E1F"/>
    <w:rsid w:val="006A4367"/>
    <w:rsid w:val="006A5BC8"/>
    <w:rsid w:val="006A710B"/>
    <w:rsid w:val="006A737A"/>
    <w:rsid w:val="006B03BA"/>
    <w:rsid w:val="006B5C80"/>
    <w:rsid w:val="006C3F26"/>
    <w:rsid w:val="006C7D91"/>
    <w:rsid w:val="006D4586"/>
    <w:rsid w:val="006E1D29"/>
    <w:rsid w:val="006E297A"/>
    <w:rsid w:val="006E29A0"/>
    <w:rsid w:val="006E4579"/>
    <w:rsid w:val="00702823"/>
    <w:rsid w:val="00705084"/>
    <w:rsid w:val="00706436"/>
    <w:rsid w:val="007257D4"/>
    <w:rsid w:val="00731FB4"/>
    <w:rsid w:val="00732ECD"/>
    <w:rsid w:val="00741491"/>
    <w:rsid w:val="00745DCD"/>
    <w:rsid w:val="0075481A"/>
    <w:rsid w:val="00772AB6"/>
    <w:rsid w:val="00785A35"/>
    <w:rsid w:val="00794396"/>
    <w:rsid w:val="00796601"/>
    <w:rsid w:val="007A3F5C"/>
    <w:rsid w:val="007B3ADE"/>
    <w:rsid w:val="007C3230"/>
    <w:rsid w:val="007D01A8"/>
    <w:rsid w:val="007D5B4F"/>
    <w:rsid w:val="00803CC0"/>
    <w:rsid w:val="00830B4F"/>
    <w:rsid w:val="008343CF"/>
    <w:rsid w:val="008352D6"/>
    <w:rsid w:val="008456B2"/>
    <w:rsid w:val="0084688A"/>
    <w:rsid w:val="00853260"/>
    <w:rsid w:val="00886B2E"/>
    <w:rsid w:val="00887EAB"/>
    <w:rsid w:val="0089420C"/>
    <w:rsid w:val="00895A16"/>
    <w:rsid w:val="008A1096"/>
    <w:rsid w:val="008A33AC"/>
    <w:rsid w:val="008B43F6"/>
    <w:rsid w:val="008D1ED1"/>
    <w:rsid w:val="008E6157"/>
    <w:rsid w:val="008F2A5E"/>
    <w:rsid w:val="008F326F"/>
    <w:rsid w:val="00907825"/>
    <w:rsid w:val="009101FF"/>
    <w:rsid w:val="0091567F"/>
    <w:rsid w:val="00924020"/>
    <w:rsid w:val="00924E0B"/>
    <w:rsid w:val="00930EA6"/>
    <w:rsid w:val="009409F0"/>
    <w:rsid w:val="00947A2E"/>
    <w:rsid w:val="0095381A"/>
    <w:rsid w:val="0095540B"/>
    <w:rsid w:val="00981F24"/>
    <w:rsid w:val="00987666"/>
    <w:rsid w:val="00994B9F"/>
    <w:rsid w:val="00994E5B"/>
    <w:rsid w:val="009A3CDF"/>
    <w:rsid w:val="009C27AA"/>
    <w:rsid w:val="009C672B"/>
    <w:rsid w:val="009D7A93"/>
    <w:rsid w:val="009E1DF5"/>
    <w:rsid w:val="009E7BB2"/>
    <w:rsid w:val="009F3B44"/>
    <w:rsid w:val="009F5667"/>
    <w:rsid w:val="00A00195"/>
    <w:rsid w:val="00A24B2B"/>
    <w:rsid w:val="00A25B0F"/>
    <w:rsid w:val="00A5420F"/>
    <w:rsid w:val="00A56A53"/>
    <w:rsid w:val="00A56BB2"/>
    <w:rsid w:val="00A61694"/>
    <w:rsid w:val="00A62B98"/>
    <w:rsid w:val="00A6664A"/>
    <w:rsid w:val="00A92323"/>
    <w:rsid w:val="00A93334"/>
    <w:rsid w:val="00A959ED"/>
    <w:rsid w:val="00A9665A"/>
    <w:rsid w:val="00AA32AA"/>
    <w:rsid w:val="00AA542F"/>
    <w:rsid w:val="00AB75BF"/>
    <w:rsid w:val="00AD6FE5"/>
    <w:rsid w:val="00AF1D59"/>
    <w:rsid w:val="00AF7B8C"/>
    <w:rsid w:val="00B060C8"/>
    <w:rsid w:val="00B30851"/>
    <w:rsid w:val="00B46573"/>
    <w:rsid w:val="00B525EC"/>
    <w:rsid w:val="00B6750C"/>
    <w:rsid w:val="00B706C6"/>
    <w:rsid w:val="00B71C97"/>
    <w:rsid w:val="00B7206C"/>
    <w:rsid w:val="00B75308"/>
    <w:rsid w:val="00B754DF"/>
    <w:rsid w:val="00BA3A25"/>
    <w:rsid w:val="00BA4643"/>
    <w:rsid w:val="00BB2D07"/>
    <w:rsid w:val="00BC071B"/>
    <w:rsid w:val="00BC2AC0"/>
    <w:rsid w:val="00BC3C64"/>
    <w:rsid w:val="00BD363B"/>
    <w:rsid w:val="00BD5934"/>
    <w:rsid w:val="00BE399F"/>
    <w:rsid w:val="00BE58AE"/>
    <w:rsid w:val="00BE73EA"/>
    <w:rsid w:val="00BF3105"/>
    <w:rsid w:val="00C07FFD"/>
    <w:rsid w:val="00C11999"/>
    <w:rsid w:val="00C50A38"/>
    <w:rsid w:val="00C66D73"/>
    <w:rsid w:val="00C76903"/>
    <w:rsid w:val="00C85251"/>
    <w:rsid w:val="00C917F1"/>
    <w:rsid w:val="00C94F82"/>
    <w:rsid w:val="00CB0F6C"/>
    <w:rsid w:val="00CC08AC"/>
    <w:rsid w:val="00D03F8F"/>
    <w:rsid w:val="00D154AC"/>
    <w:rsid w:val="00D27760"/>
    <w:rsid w:val="00D318DD"/>
    <w:rsid w:val="00D32DD4"/>
    <w:rsid w:val="00D62E11"/>
    <w:rsid w:val="00D764C0"/>
    <w:rsid w:val="00D95DA6"/>
    <w:rsid w:val="00DA7150"/>
    <w:rsid w:val="00DB0943"/>
    <w:rsid w:val="00DB4B73"/>
    <w:rsid w:val="00DB55AD"/>
    <w:rsid w:val="00DB5DC5"/>
    <w:rsid w:val="00DC0A6F"/>
    <w:rsid w:val="00DC195A"/>
    <w:rsid w:val="00DC3799"/>
    <w:rsid w:val="00DD2903"/>
    <w:rsid w:val="00DD3607"/>
    <w:rsid w:val="00DD508B"/>
    <w:rsid w:val="00DE7F1B"/>
    <w:rsid w:val="00DF2C5C"/>
    <w:rsid w:val="00DF31FA"/>
    <w:rsid w:val="00DF5D73"/>
    <w:rsid w:val="00DF6520"/>
    <w:rsid w:val="00E074AA"/>
    <w:rsid w:val="00E267C3"/>
    <w:rsid w:val="00E27A77"/>
    <w:rsid w:val="00E341AC"/>
    <w:rsid w:val="00E41B84"/>
    <w:rsid w:val="00E64F9D"/>
    <w:rsid w:val="00E66DE1"/>
    <w:rsid w:val="00E72656"/>
    <w:rsid w:val="00E756B8"/>
    <w:rsid w:val="00E859E4"/>
    <w:rsid w:val="00EA6881"/>
    <w:rsid w:val="00EB7844"/>
    <w:rsid w:val="00EC287B"/>
    <w:rsid w:val="00EC6141"/>
    <w:rsid w:val="00ED69A3"/>
    <w:rsid w:val="00EE6876"/>
    <w:rsid w:val="00EF03E0"/>
    <w:rsid w:val="00F25282"/>
    <w:rsid w:val="00F2530F"/>
    <w:rsid w:val="00F516F1"/>
    <w:rsid w:val="00F517D9"/>
    <w:rsid w:val="00F60466"/>
    <w:rsid w:val="00F67E39"/>
    <w:rsid w:val="00F9250C"/>
    <w:rsid w:val="00F940EB"/>
    <w:rsid w:val="00FB4A20"/>
    <w:rsid w:val="00FB78BC"/>
    <w:rsid w:val="00FB7CA8"/>
    <w:rsid w:val="00FC2BC6"/>
    <w:rsid w:val="00FD269A"/>
    <w:rsid w:val="00FD29F1"/>
    <w:rsid w:val="00FD67E6"/>
    <w:rsid w:val="00FD6E36"/>
    <w:rsid w:val="00FE35F7"/>
    <w:rsid w:val="00FF0148"/>
    <w:rsid w:val="00FF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C10DF"/>
    <w:pPr>
      <w:spacing w:after="0" w:line="240" w:lineRule="auto"/>
    </w:pPr>
  </w:style>
  <w:style w:type="paragraph" w:styleId="Heading1">
    <w:name w:val="heading 1"/>
    <w:basedOn w:val="Normal"/>
    <w:next w:val="Normal"/>
    <w:link w:val="Heading1Char"/>
    <w:uiPriority w:val="9"/>
    <w:qFormat/>
    <w:rsid w:val="00BC2A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2A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C10DF"/>
    <w:pPr>
      <w:spacing w:after="0" w:line="240" w:lineRule="auto"/>
    </w:pPr>
  </w:style>
  <w:style w:type="paragraph" w:styleId="Header">
    <w:name w:val="header"/>
    <w:basedOn w:val="Normal"/>
    <w:link w:val="HeaderChar"/>
    <w:uiPriority w:val="99"/>
    <w:unhideWhenUsed/>
    <w:rsid w:val="00C917F1"/>
    <w:pPr>
      <w:tabs>
        <w:tab w:val="center" w:pos="4680"/>
        <w:tab w:val="right" w:pos="9360"/>
      </w:tabs>
    </w:pPr>
  </w:style>
  <w:style w:type="character" w:customStyle="1" w:styleId="HeaderChar">
    <w:name w:val="Header Char"/>
    <w:basedOn w:val="DefaultParagraphFont"/>
    <w:link w:val="Header"/>
    <w:uiPriority w:val="99"/>
    <w:rsid w:val="00C917F1"/>
  </w:style>
  <w:style w:type="paragraph" w:styleId="Footer">
    <w:name w:val="footer"/>
    <w:basedOn w:val="Normal"/>
    <w:link w:val="FooterChar"/>
    <w:uiPriority w:val="99"/>
    <w:unhideWhenUsed/>
    <w:rsid w:val="00C917F1"/>
    <w:pPr>
      <w:tabs>
        <w:tab w:val="center" w:pos="4680"/>
        <w:tab w:val="right" w:pos="9360"/>
      </w:tabs>
    </w:pPr>
  </w:style>
  <w:style w:type="character" w:customStyle="1" w:styleId="FooterChar">
    <w:name w:val="Footer Char"/>
    <w:basedOn w:val="DefaultParagraphFont"/>
    <w:link w:val="Footer"/>
    <w:uiPriority w:val="99"/>
    <w:rsid w:val="00C917F1"/>
  </w:style>
  <w:style w:type="paragraph" w:styleId="BalloonText">
    <w:name w:val="Balloon Text"/>
    <w:basedOn w:val="Normal"/>
    <w:link w:val="BalloonTextChar"/>
    <w:uiPriority w:val="99"/>
    <w:semiHidden/>
    <w:unhideWhenUsed/>
    <w:rsid w:val="00C917F1"/>
    <w:rPr>
      <w:rFonts w:ascii="Tahoma" w:hAnsi="Tahoma" w:cs="Tahoma"/>
      <w:sz w:val="16"/>
      <w:szCs w:val="16"/>
    </w:rPr>
  </w:style>
  <w:style w:type="character" w:customStyle="1" w:styleId="BalloonTextChar">
    <w:name w:val="Balloon Text Char"/>
    <w:basedOn w:val="DefaultParagraphFont"/>
    <w:link w:val="BalloonText"/>
    <w:uiPriority w:val="99"/>
    <w:semiHidden/>
    <w:rsid w:val="00C917F1"/>
    <w:rPr>
      <w:rFonts w:ascii="Tahoma" w:hAnsi="Tahoma" w:cs="Tahoma"/>
      <w:sz w:val="16"/>
      <w:szCs w:val="16"/>
    </w:rPr>
  </w:style>
  <w:style w:type="character" w:customStyle="1" w:styleId="Heading1Char">
    <w:name w:val="Heading 1 Char"/>
    <w:basedOn w:val="DefaultParagraphFont"/>
    <w:link w:val="Heading1"/>
    <w:uiPriority w:val="9"/>
    <w:rsid w:val="00BC2A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2AC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C3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9191A"/>
  </w:style>
  <w:style w:type="paragraph" w:styleId="TOCHeading">
    <w:name w:val="TOC Heading"/>
    <w:basedOn w:val="Heading1"/>
    <w:next w:val="Normal"/>
    <w:uiPriority w:val="39"/>
    <w:semiHidden/>
    <w:unhideWhenUsed/>
    <w:qFormat/>
    <w:rsid w:val="0019191A"/>
    <w:pPr>
      <w:spacing w:line="276" w:lineRule="auto"/>
      <w:outlineLvl w:val="9"/>
    </w:pPr>
  </w:style>
  <w:style w:type="paragraph" w:styleId="TOC1">
    <w:name w:val="toc 1"/>
    <w:basedOn w:val="Normal"/>
    <w:next w:val="Normal"/>
    <w:autoRedefine/>
    <w:uiPriority w:val="39"/>
    <w:unhideWhenUsed/>
    <w:rsid w:val="0019191A"/>
    <w:pPr>
      <w:spacing w:after="100"/>
    </w:pPr>
  </w:style>
  <w:style w:type="paragraph" w:styleId="TOC2">
    <w:name w:val="toc 2"/>
    <w:basedOn w:val="Normal"/>
    <w:next w:val="Normal"/>
    <w:autoRedefine/>
    <w:uiPriority w:val="39"/>
    <w:unhideWhenUsed/>
    <w:rsid w:val="0019191A"/>
    <w:pPr>
      <w:spacing w:after="100"/>
      <w:ind w:left="220"/>
    </w:pPr>
  </w:style>
  <w:style w:type="character" w:styleId="Hyperlink">
    <w:name w:val="Hyperlink"/>
    <w:basedOn w:val="DefaultParagraphFont"/>
    <w:uiPriority w:val="99"/>
    <w:unhideWhenUsed/>
    <w:rsid w:val="0019191A"/>
    <w:rPr>
      <w:color w:val="0000FF" w:themeColor="hyperlink"/>
      <w:u w:val="single"/>
    </w:rPr>
  </w:style>
  <w:style w:type="paragraph" w:styleId="ListParagraph">
    <w:name w:val="List Paragraph"/>
    <w:basedOn w:val="Normal"/>
    <w:uiPriority w:val="34"/>
    <w:qFormat/>
    <w:rsid w:val="000D5521"/>
    <w:pPr>
      <w:ind w:left="720"/>
      <w:contextualSpacing/>
    </w:pPr>
  </w:style>
  <w:style w:type="character" w:styleId="Strong">
    <w:name w:val="Strong"/>
    <w:basedOn w:val="DefaultParagraphFont"/>
    <w:uiPriority w:val="22"/>
    <w:qFormat/>
    <w:rsid w:val="00B675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C10DF"/>
    <w:pPr>
      <w:spacing w:after="0" w:line="240" w:lineRule="auto"/>
    </w:pPr>
  </w:style>
  <w:style w:type="paragraph" w:styleId="Heading1">
    <w:name w:val="heading 1"/>
    <w:basedOn w:val="Normal"/>
    <w:next w:val="Normal"/>
    <w:link w:val="Heading1Char"/>
    <w:uiPriority w:val="9"/>
    <w:qFormat/>
    <w:rsid w:val="00BC2A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2A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C10DF"/>
    <w:pPr>
      <w:spacing w:after="0" w:line="240" w:lineRule="auto"/>
    </w:pPr>
  </w:style>
  <w:style w:type="paragraph" w:styleId="Header">
    <w:name w:val="header"/>
    <w:basedOn w:val="Normal"/>
    <w:link w:val="HeaderChar"/>
    <w:uiPriority w:val="99"/>
    <w:unhideWhenUsed/>
    <w:rsid w:val="00C917F1"/>
    <w:pPr>
      <w:tabs>
        <w:tab w:val="center" w:pos="4680"/>
        <w:tab w:val="right" w:pos="9360"/>
      </w:tabs>
    </w:pPr>
  </w:style>
  <w:style w:type="character" w:customStyle="1" w:styleId="HeaderChar">
    <w:name w:val="Header Char"/>
    <w:basedOn w:val="DefaultParagraphFont"/>
    <w:link w:val="Header"/>
    <w:uiPriority w:val="99"/>
    <w:rsid w:val="00C917F1"/>
  </w:style>
  <w:style w:type="paragraph" w:styleId="Footer">
    <w:name w:val="footer"/>
    <w:basedOn w:val="Normal"/>
    <w:link w:val="FooterChar"/>
    <w:uiPriority w:val="99"/>
    <w:unhideWhenUsed/>
    <w:rsid w:val="00C917F1"/>
    <w:pPr>
      <w:tabs>
        <w:tab w:val="center" w:pos="4680"/>
        <w:tab w:val="right" w:pos="9360"/>
      </w:tabs>
    </w:pPr>
  </w:style>
  <w:style w:type="character" w:customStyle="1" w:styleId="FooterChar">
    <w:name w:val="Footer Char"/>
    <w:basedOn w:val="DefaultParagraphFont"/>
    <w:link w:val="Footer"/>
    <w:uiPriority w:val="99"/>
    <w:rsid w:val="00C917F1"/>
  </w:style>
  <w:style w:type="paragraph" w:styleId="BalloonText">
    <w:name w:val="Balloon Text"/>
    <w:basedOn w:val="Normal"/>
    <w:link w:val="BalloonTextChar"/>
    <w:uiPriority w:val="99"/>
    <w:semiHidden/>
    <w:unhideWhenUsed/>
    <w:rsid w:val="00C917F1"/>
    <w:rPr>
      <w:rFonts w:ascii="Tahoma" w:hAnsi="Tahoma" w:cs="Tahoma"/>
      <w:sz w:val="16"/>
      <w:szCs w:val="16"/>
    </w:rPr>
  </w:style>
  <w:style w:type="character" w:customStyle="1" w:styleId="BalloonTextChar">
    <w:name w:val="Balloon Text Char"/>
    <w:basedOn w:val="DefaultParagraphFont"/>
    <w:link w:val="BalloonText"/>
    <w:uiPriority w:val="99"/>
    <w:semiHidden/>
    <w:rsid w:val="00C917F1"/>
    <w:rPr>
      <w:rFonts w:ascii="Tahoma" w:hAnsi="Tahoma" w:cs="Tahoma"/>
      <w:sz w:val="16"/>
      <w:szCs w:val="16"/>
    </w:rPr>
  </w:style>
  <w:style w:type="character" w:customStyle="1" w:styleId="Heading1Char">
    <w:name w:val="Heading 1 Char"/>
    <w:basedOn w:val="DefaultParagraphFont"/>
    <w:link w:val="Heading1"/>
    <w:uiPriority w:val="9"/>
    <w:rsid w:val="00BC2A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2AC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C3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9191A"/>
  </w:style>
  <w:style w:type="paragraph" w:styleId="TOCHeading">
    <w:name w:val="TOC Heading"/>
    <w:basedOn w:val="Heading1"/>
    <w:next w:val="Normal"/>
    <w:uiPriority w:val="39"/>
    <w:semiHidden/>
    <w:unhideWhenUsed/>
    <w:qFormat/>
    <w:rsid w:val="0019191A"/>
    <w:pPr>
      <w:spacing w:line="276" w:lineRule="auto"/>
      <w:outlineLvl w:val="9"/>
    </w:pPr>
  </w:style>
  <w:style w:type="paragraph" w:styleId="TOC1">
    <w:name w:val="toc 1"/>
    <w:basedOn w:val="Normal"/>
    <w:next w:val="Normal"/>
    <w:autoRedefine/>
    <w:uiPriority w:val="39"/>
    <w:unhideWhenUsed/>
    <w:rsid w:val="0019191A"/>
    <w:pPr>
      <w:spacing w:after="100"/>
    </w:pPr>
  </w:style>
  <w:style w:type="paragraph" w:styleId="TOC2">
    <w:name w:val="toc 2"/>
    <w:basedOn w:val="Normal"/>
    <w:next w:val="Normal"/>
    <w:autoRedefine/>
    <w:uiPriority w:val="39"/>
    <w:unhideWhenUsed/>
    <w:rsid w:val="0019191A"/>
    <w:pPr>
      <w:spacing w:after="100"/>
      <w:ind w:left="220"/>
    </w:pPr>
  </w:style>
  <w:style w:type="character" w:styleId="Hyperlink">
    <w:name w:val="Hyperlink"/>
    <w:basedOn w:val="DefaultParagraphFont"/>
    <w:uiPriority w:val="99"/>
    <w:unhideWhenUsed/>
    <w:rsid w:val="0019191A"/>
    <w:rPr>
      <w:color w:val="0000FF" w:themeColor="hyperlink"/>
      <w:u w:val="single"/>
    </w:rPr>
  </w:style>
  <w:style w:type="paragraph" w:styleId="ListParagraph">
    <w:name w:val="List Paragraph"/>
    <w:basedOn w:val="Normal"/>
    <w:uiPriority w:val="34"/>
    <w:qFormat/>
    <w:rsid w:val="000D5521"/>
    <w:pPr>
      <w:ind w:left="720"/>
      <w:contextualSpacing/>
    </w:pPr>
  </w:style>
  <w:style w:type="character" w:styleId="Strong">
    <w:name w:val="Strong"/>
    <w:basedOn w:val="DefaultParagraphFont"/>
    <w:uiPriority w:val="22"/>
    <w:qFormat/>
    <w:rsid w:val="00B675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7495">
      <w:bodyDiv w:val="1"/>
      <w:marLeft w:val="0"/>
      <w:marRight w:val="0"/>
      <w:marTop w:val="0"/>
      <w:marBottom w:val="0"/>
      <w:divBdr>
        <w:top w:val="none" w:sz="0" w:space="0" w:color="auto"/>
        <w:left w:val="none" w:sz="0" w:space="0" w:color="auto"/>
        <w:bottom w:val="none" w:sz="0" w:space="0" w:color="auto"/>
        <w:right w:val="none" w:sz="0" w:space="0" w:color="auto"/>
      </w:divBdr>
    </w:div>
    <w:div w:id="280457239">
      <w:bodyDiv w:val="1"/>
      <w:marLeft w:val="0"/>
      <w:marRight w:val="0"/>
      <w:marTop w:val="0"/>
      <w:marBottom w:val="0"/>
      <w:divBdr>
        <w:top w:val="none" w:sz="0" w:space="0" w:color="auto"/>
        <w:left w:val="none" w:sz="0" w:space="0" w:color="auto"/>
        <w:bottom w:val="none" w:sz="0" w:space="0" w:color="auto"/>
        <w:right w:val="none" w:sz="0" w:space="0" w:color="auto"/>
      </w:divBdr>
    </w:div>
    <w:div w:id="297345494">
      <w:bodyDiv w:val="1"/>
      <w:marLeft w:val="0"/>
      <w:marRight w:val="0"/>
      <w:marTop w:val="0"/>
      <w:marBottom w:val="0"/>
      <w:divBdr>
        <w:top w:val="none" w:sz="0" w:space="0" w:color="auto"/>
        <w:left w:val="none" w:sz="0" w:space="0" w:color="auto"/>
        <w:bottom w:val="none" w:sz="0" w:space="0" w:color="auto"/>
        <w:right w:val="none" w:sz="0" w:space="0" w:color="auto"/>
      </w:divBdr>
    </w:div>
    <w:div w:id="436214280">
      <w:bodyDiv w:val="1"/>
      <w:marLeft w:val="0"/>
      <w:marRight w:val="0"/>
      <w:marTop w:val="0"/>
      <w:marBottom w:val="0"/>
      <w:divBdr>
        <w:top w:val="none" w:sz="0" w:space="0" w:color="auto"/>
        <w:left w:val="none" w:sz="0" w:space="0" w:color="auto"/>
        <w:bottom w:val="none" w:sz="0" w:space="0" w:color="auto"/>
        <w:right w:val="none" w:sz="0" w:space="0" w:color="auto"/>
      </w:divBdr>
    </w:div>
    <w:div w:id="467667221">
      <w:bodyDiv w:val="1"/>
      <w:marLeft w:val="0"/>
      <w:marRight w:val="0"/>
      <w:marTop w:val="0"/>
      <w:marBottom w:val="0"/>
      <w:divBdr>
        <w:top w:val="none" w:sz="0" w:space="0" w:color="auto"/>
        <w:left w:val="none" w:sz="0" w:space="0" w:color="auto"/>
        <w:bottom w:val="none" w:sz="0" w:space="0" w:color="auto"/>
        <w:right w:val="none" w:sz="0" w:space="0" w:color="auto"/>
      </w:divBdr>
    </w:div>
    <w:div w:id="468281068">
      <w:bodyDiv w:val="1"/>
      <w:marLeft w:val="0"/>
      <w:marRight w:val="0"/>
      <w:marTop w:val="0"/>
      <w:marBottom w:val="0"/>
      <w:divBdr>
        <w:top w:val="none" w:sz="0" w:space="0" w:color="auto"/>
        <w:left w:val="none" w:sz="0" w:space="0" w:color="auto"/>
        <w:bottom w:val="none" w:sz="0" w:space="0" w:color="auto"/>
        <w:right w:val="none" w:sz="0" w:space="0" w:color="auto"/>
      </w:divBdr>
    </w:div>
    <w:div w:id="669872068">
      <w:bodyDiv w:val="1"/>
      <w:marLeft w:val="0"/>
      <w:marRight w:val="0"/>
      <w:marTop w:val="0"/>
      <w:marBottom w:val="0"/>
      <w:divBdr>
        <w:top w:val="none" w:sz="0" w:space="0" w:color="auto"/>
        <w:left w:val="none" w:sz="0" w:space="0" w:color="auto"/>
        <w:bottom w:val="none" w:sz="0" w:space="0" w:color="auto"/>
        <w:right w:val="none" w:sz="0" w:space="0" w:color="auto"/>
      </w:divBdr>
    </w:div>
    <w:div w:id="714357312">
      <w:bodyDiv w:val="1"/>
      <w:marLeft w:val="0"/>
      <w:marRight w:val="0"/>
      <w:marTop w:val="0"/>
      <w:marBottom w:val="0"/>
      <w:divBdr>
        <w:top w:val="none" w:sz="0" w:space="0" w:color="auto"/>
        <w:left w:val="none" w:sz="0" w:space="0" w:color="auto"/>
        <w:bottom w:val="none" w:sz="0" w:space="0" w:color="auto"/>
        <w:right w:val="none" w:sz="0" w:space="0" w:color="auto"/>
      </w:divBdr>
    </w:div>
    <w:div w:id="790174048">
      <w:bodyDiv w:val="1"/>
      <w:marLeft w:val="0"/>
      <w:marRight w:val="0"/>
      <w:marTop w:val="0"/>
      <w:marBottom w:val="0"/>
      <w:divBdr>
        <w:top w:val="none" w:sz="0" w:space="0" w:color="auto"/>
        <w:left w:val="none" w:sz="0" w:space="0" w:color="auto"/>
        <w:bottom w:val="none" w:sz="0" w:space="0" w:color="auto"/>
        <w:right w:val="none" w:sz="0" w:space="0" w:color="auto"/>
      </w:divBdr>
    </w:div>
    <w:div w:id="1002512723">
      <w:bodyDiv w:val="1"/>
      <w:marLeft w:val="0"/>
      <w:marRight w:val="0"/>
      <w:marTop w:val="0"/>
      <w:marBottom w:val="0"/>
      <w:divBdr>
        <w:top w:val="none" w:sz="0" w:space="0" w:color="auto"/>
        <w:left w:val="none" w:sz="0" w:space="0" w:color="auto"/>
        <w:bottom w:val="none" w:sz="0" w:space="0" w:color="auto"/>
        <w:right w:val="none" w:sz="0" w:space="0" w:color="auto"/>
      </w:divBdr>
    </w:div>
    <w:div w:id="1136726383">
      <w:bodyDiv w:val="1"/>
      <w:marLeft w:val="0"/>
      <w:marRight w:val="0"/>
      <w:marTop w:val="0"/>
      <w:marBottom w:val="0"/>
      <w:divBdr>
        <w:top w:val="none" w:sz="0" w:space="0" w:color="auto"/>
        <w:left w:val="none" w:sz="0" w:space="0" w:color="auto"/>
        <w:bottom w:val="none" w:sz="0" w:space="0" w:color="auto"/>
        <w:right w:val="none" w:sz="0" w:space="0" w:color="auto"/>
      </w:divBdr>
    </w:div>
    <w:div w:id="1180898797">
      <w:bodyDiv w:val="1"/>
      <w:marLeft w:val="0"/>
      <w:marRight w:val="0"/>
      <w:marTop w:val="0"/>
      <w:marBottom w:val="0"/>
      <w:divBdr>
        <w:top w:val="none" w:sz="0" w:space="0" w:color="auto"/>
        <w:left w:val="none" w:sz="0" w:space="0" w:color="auto"/>
        <w:bottom w:val="none" w:sz="0" w:space="0" w:color="auto"/>
        <w:right w:val="none" w:sz="0" w:space="0" w:color="auto"/>
      </w:divBdr>
    </w:div>
    <w:div w:id="1263994643">
      <w:bodyDiv w:val="1"/>
      <w:marLeft w:val="0"/>
      <w:marRight w:val="0"/>
      <w:marTop w:val="0"/>
      <w:marBottom w:val="0"/>
      <w:divBdr>
        <w:top w:val="none" w:sz="0" w:space="0" w:color="auto"/>
        <w:left w:val="none" w:sz="0" w:space="0" w:color="auto"/>
        <w:bottom w:val="none" w:sz="0" w:space="0" w:color="auto"/>
        <w:right w:val="none" w:sz="0" w:space="0" w:color="auto"/>
      </w:divBdr>
    </w:div>
    <w:div w:id="1450466191">
      <w:bodyDiv w:val="1"/>
      <w:marLeft w:val="0"/>
      <w:marRight w:val="0"/>
      <w:marTop w:val="0"/>
      <w:marBottom w:val="0"/>
      <w:divBdr>
        <w:top w:val="none" w:sz="0" w:space="0" w:color="auto"/>
        <w:left w:val="none" w:sz="0" w:space="0" w:color="auto"/>
        <w:bottom w:val="none" w:sz="0" w:space="0" w:color="auto"/>
        <w:right w:val="none" w:sz="0" w:space="0" w:color="auto"/>
      </w:divBdr>
    </w:div>
    <w:div w:id="1602882623">
      <w:bodyDiv w:val="1"/>
      <w:marLeft w:val="0"/>
      <w:marRight w:val="0"/>
      <w:marTop w:val="0"/>
      <w:marBottom w:val="0"/>
      <w:divBdr>
        <w:top w:val="none" w:sz="0" w:space="0" w:color="auto"/>
        <w:left w:val="none" w:sz="0" w:space="0" w:color="auto"/>
        <w:bottom w:val="none" w:sz="0" w:space="0" w:color="auto"/>
        <w:right w:val="none" w:sz="0" w:space="0" w:color="auto"/>
      </w:divBdr>
    </w:div>
    <w:div w:id="1663197127">
      <w:bodyDiv w:val="1"/>
      <w:marLeft w:val="0"/>
      <w:marRight w:val="0"/>
      <w:marTop w:val="0"/>
      <w:marBottom w:val="0"/>
      <w:divBdr>
        <w:top w:val="none" w:sz="0" w:space="0" w:color="auto"/>
        <w:left w:val="none" w:sz="0" w:space="0" w:color="auto"/>
        <w:bottom w:val="none" w:sz="0" w:space="0" w:color="auto"/>
        <w:right w:val="none" w:sz="0" w:space="0" w:color="auto"/>
      </w:divBdr>
    </w:div>
    <w:div w:id="2034766868">
      <w:bodyDiv w:val="1"/>
      <w:marLeft w:val="0"/>
      <w:marRight w:val="0"/>
      <w:marTop w:val="0"/>
      <w:marBottom w:val="0"/>
      <w:divBdr>
        <w:top w:val="none" w:sz="0" w:space="0" w:color="auto"/>
        <w:left w:val="none" w:sz="0" w:space="0" w:color="auto"/>
        <w:bottom w:val="none" w:sz="0" w:space="0" w:color="auto"/>
        <w:right w:val="none" w:sz="0" w:space="0" w:color="auto"/>
      </w:divBdr>
    </w:div>
    <w:div w:id="2040810378">
      <w:bodyDiv w:val="1"/>
      <w:marLeft w:val="0"/>
      <w:marRight w:val="0"/>
      <w:marTop w:val="0"/>
      <w:marBottom w:val="0"/>
      <w:divBdr>
        <w:top w:val="none" w:sz="0" w:space="0" w:color="auto"/>
        <w:left w:val="none" w:sz="0" w:space="0" w:color="auto"/>
        <w:bottom w:val="none" w:sz="0" w:space="0" w:color="auto"/>
        <w:right w:val="none" w:sz="0" w:space="0" w:color="auto"/>
      </w:divBdr>
    </w:div>
    <w:div w:id="206629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image" Target="media/image3.jpeg"/><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Surveys</a:t>
            </a:r>
            <a:r>
              <a:rPr lang="en-US" baseline="0"/>
              <a:t> Completed by Year</a:t>
            </a:r>
            <a:endParaRPr lang="en-US"/>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dLbls>
            <c:dLbl>
              <c:idx val="0"/>
              <c:layout>
                <c:manualLayout>
                  <c:x val="-2.3148148148148147E-3"/>
                  <c:y val="2.3809523809523895E-2"/>
                </c:manualLayout>
              </c:layout>
              <c:dLblPos val="outEnd"/>
              <c:showLegendKey val="0"/>
              <c:showVal val="1"/>
              <c:showCatName val="0"/>
              <c:showSerName val="0"/>
              <c:showPercent val="0"/>
              <c:showBubbleSize val="0"/>
            </c:dLbl>
            <c:dLbl>
              <c:idx val="1"/>
              <c:layout>
                <c:manualLayout>
                  <c:x val="0"/>
                  <c:y val="1.9841269841270048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numRef>
              <c:f>Sheet1!$A$2:$A$6</c:f>
              <c:numCache>
                <c:formatCode>General</c:formatCode>
                <c:ptCount val="5"/>
                <c:pt idx="0">
                  <c:v>2009</c:v>
                </c:pt>
                <c:pt idx="1">
                  <c:v>2010</c:v>
                </c:pt>
                <c:pt idx="2">
                  <c:v>2011</c:v>
                </c:pt>
                <c:pt idx="3">
                  <c:v>2012</c:v>
                </c:pt>
                <c:pt idx="4">
                  <c:v>2013</c:v>
                </c:pt>
              </c:numCache>
            </c:numRef>
          </c:cat>
          <c:val>
            <c:numRef>
              <c:f>Sheet1!$B$2:$B$6</c:f>
              <c:numCache>
                <c:formatCode>General</c:formatCode>
                <c:ptCount val="5"/>
                <c:pt idx="0">
                  <c:v>677</c:v>
                </c:pt>
                <c:pt idx="1">
                  <c:v>1085</c:v>
                </c:pt>
                <c:pt idx="2">
                  <c:v>838</c:v>
                </c:pt>
                <c:pt idx="3">
                  <c:v>912</c:v>
                </c:pt>
                <c:pt idx="4">
                  <c:v>1414</c:v>
                </c:pt>
              </c:numCache>
            </c:numRef>
          </c:val>
        </c:ser>
        <c:dLbls>
          <c:showLegendKey val="0"/>
          <c:showVal val="1"/>
          <c:showCatName val="0"/>
          <c:showSerName val="0"/>
          <c:showPercent val="0"/>
          <c:showBubbleSize val="0"/>
        </c:dLbls>
        <c:gapWidth val="150"/>
        <c:axId val="68935040"/>
        <c:axId val="175285760"/>
      </c:barChart>
      <c:catAx>
        <c:axId val="68935040"/>
        <c:scaling>
          <c:orientation val="minMax"/>
        </c:scaling>
        <c:delete val="0"/>
        <c:axPos val="b"/>
        <c:numFmt formatCode="General" sourceLinked="1"/>
        <c:majorTickMark val="out"/>
        <c:minorTickMark val="none"/>
        <c:tickLblPos val="nextTo"/>
        <c:crossAx val="175285760"/>
        <c:crosses val="autoZero"/>
        <c:auto val="1"/>
        <c:lblAlgn val="ctr"/>
        <c:lblOffset val="100"/>
        <c:noMultiLvlLbl val="0"/>
      </c:catAx>
      <c:valAx>
        <c:axId val="175285760"/>
        <c:scaling>
          <c:orientation val="minMax"/>
          <c:max val="1500"/>
          <c:min val="0"/>
        </c:scaling>
        <c:delete val="0"/>
        <c:axPos val="l"/>
        <c:majorGridlines/>
        <c:numFmt formatCode="General" sourceLinked="1"/>
        <c:majorTickMark val="out"/>
        <c:minorTickMark val="none"/>
        <c:tickLblPos val="nextTo"/>
        <c:crossAx val="68935040"/>
        <c:crosses val="autoZero"/>
        <c:crossBetween val="between"/>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Household Income</a:t>
            </a:r>
          </a:p>
        </c:rich>
      </c:tx>
      <c:overlay val="0"/>
    </c:title>
    <c:autoTitleDeleted val="0"/>
    <c:plotArea>
      <c:layout/>
      <c:barChart>
        <c:barDir val="col"/>
        <c:grouping val="clustered"/>
        <c:varyColors val="0"/>
        <c:ser>
          <c:idx val="0"/>
          <c:order val="0"/>
          <c:tx>
            <c:strRef>
              <c:f>Sheet1!$B$1</c:f>
              <c:strCache>
                <c:ptCount val="1"/>
                <c:pt idx="0">
                  <c:v>2009</c:v>
                </c:pt>
              </c:strCache>
            </c:strRef>
          </c:tx>
          <c:invertIfNegative val="0"/>
          <c:cat>
            <c:strRef>
              <c:f>Sheet1!$A$2:$A$7</c:f>
              <c:strCache>
                <c:ptCount val="6"/>
                <c:pt idx="0">
                  <c:v>Less than $10,000</c:v>
                </c:pt>
                <c:pt idx="1">
                  <c:v>$10,000 up to $15,000</c:v>
                </c:pt>
                <c:pt idx="2">
                  <c:v>$15,000 up to $30,000</c:v>
                </c:pt>
                <c:pt idx="3">
                  <c:v>$30,000 up to $50,000</c:v>
                </c:pt>
                <c:pt idx="4">
                  <c:v>$50,000 up to $70,000</c:v>
                </c:pt>
                <c:pt idx="5">
                  <c:v>More than $70,000</c:v>
                </c:pt>
              </c:strCache>
            </c:strRef>
          </c:cat>
          <c:val>
            <c:numRef>
              <c:f>Sheet1!$B$2:$B$7</c:f>
              <c:numCache>
                <c:formatCode>0.0%</c:formatCode>
                <c:ptCount val="6"/>
                <c:pt idx="0">
                  <c:v>0.13400000000000001</c:v>
                </c:pt>
                <c:pt idx="1">
                  <c:v>0.157</c:v>
                </c:pt>
                <c:pt idx="2">
                  <c:v>0.26300000000000001</c:v>
                </c:pt>
                <c:pt idx="3">
                  <c:v>0.221</c:v>
                </c:pt>
                <c:pt idx="4">
                  <c:v>9.4E-2</c:v>
                </c:pt>
                <c:pt idx="5">
                  <c:v>9.4E-2</c:v>
                </c:pt>
              </c:numCache>
            </c:numRef>
          </c:val>
        </c:ser>
        <c:ser>
          <c:idx val="1"/>
          <c:order val="1"/>
          <c:tx>
            <c:strRef>
              <c:f>Sheet1!$C$1</c:f>
              <c:strCache>
                <c:ptCount val="1"/>
                <c:pt idx="0">
                  <c:v>2010</c:v>
                </c:pt>
              </c:strCache>
            </c:strRef>
          </c:tx>
          <c:spPr>
            <a:solidFill>
              <a:schemeClr val="accent6"/>
            </a:solidFill>
            <a:ln>
              <a:solidFill>
                <a:schemeClr val="accent6"/>
              </a:solidFill>
            </a:ln>
          </c:spPr>
          <c:invertIfNegative val="0"/>
          <c:cat>
            <c:strRef>
              <c:f>Sheet1!$A$2:$A$7</c:f>
              <c:strCache>
                <c:ptCount val="6"/>
                <c:pt idx="0">
                  <c:v>Less than $10,000</c:v>
                </c:pt>
                <c:pt idx="1">
                  <c:v>$10,000 up to $15,000</c:v>
                </c:pt>
                <c:pt idx="2">
                  <c:v>$15,000 up to $30,000</c:v>
                </c:pt>
                <c:pt idx="3">
                  <c:v>$30,000 up to $50,000</c:v>
                </c:pt>
                <c:pt idx="4">
                  <c:v>$50,000 up to $70,000</c:v>
                </c:pt>
                <c:pt idx="5">
                  <c:v>More than $70,000</c:v>
                </c:pt>
              </c:strCache>
            </c:strRef>
          </c:cat>
          <c:val>
            <c:numRef>
              <c:f>Sheet1!$C$2:$C$7</c:f>
              <c:numCache>
                <c:formatCode>0.0%</c:formatCode>
                <c:ptCount val="6"/>
                <c:pt idx="0">
                  <c:v>0.115</c:v>
                </c:pt>
                <c:pt idx="1">
                  <c:v>0.152</c:v>
                </c:pt>
                <c:pt idx="2">
                  <c:v>0.251</c:v>
                </c:pt>
                <c:pt idx="3">
                  <c:v>0.22700000000000001</c:v>
                </c:pt>
                <c:pt idx="4">
                  <c:v>0.108</c:v>
                </c:pt>
                <c:pt idx="5">
                  <c:v>0.108</c:v>
                </c:pt>
              </c:numCache>
            </c:numRef>
          </c:val>
        </c:ser>
        <c:ser>
          <c:idx val="2"/>
          <c:order val="2"/>
          <c:tx>
            <c:strRef>
              <c:f>Sheet1!$D$1</c:f>
              <c:strCache>
                <c:ptCount val="1"/>
                <c:pt idx="0">
                  <c:v>2011</c:v>
                </c:pt>
              </c:strCache>
            </c:strRef>
          </c:tx>
          <c:invertIfNegative val="0"/>
          <c:cat>
            <c:strRef>
              <c:f>Sheet1!$A$2:$A$7</c:f>
              <c:strCache>
                <c:ptCount val="6"/>
                <c:pt idx="0">
                  <c:v>Less than $10,000</c:v>
                </c:pt>
                <c:pt idx="1">
                  <c:v>$10,000 up to $15,000</c:v>
                </c:pt>
                <c:pt idx="2">
                  <c:v>$15,000 up to $30,000</c:v>
                </c:pt>
                <c:pt idx="3">
                  <c:v>$30,000 up to $50,000</c:v>
                </c:pt>
                <c:pt idx="4">
                  <c:v>$50,000 up to $70,000</c:v>
                </c:pt>
                <c:pt idx="5">
                  <c:v>More than $70,000</c:v>
                </c:pt>
              </c:strCache>
            </c:strRef>
          </c:cat>
          <c:val>
            <c:numRef>
              <c:f>Sheet1!$D$2:$D$7</c:f>
              <c:numCache>
                <c:formatCode>0.0%</c:formatCode>
                <c:ptCount val="6"/>
                <c:pt idx="0">
                  <c:v>0.14499999999999999</c:v>
                </c:pt>
                <c:pt idx="1">
                  <c:v>0.155</c:v>
                </c:pt>
                <c:pt idx="2">
                  <c:v>0.24099999999999999</c:v>
                </c:pt>
                <c:pt idx="3">
                  <c:v>0.23499999999999999</c:v>
                </c:pt>
                <c:pt idx="4">
                  <c:v>0.128</c:v>
                </c:pt>
                <c:pt idx="5">
                  <c:v>0.107</c:v>
                </c:pt>
              </c:numCache>
            </c:numRef>
          </c:val>
        </c:ser>
        <c:ser>
          <c:idx val="3"/>
          <c:order val="3"/>
          <c:tx>
            <c:strRef>
              <c:f>Sheet1!$E$1</c:f>
              <c:strCache>
                <c:ptCount val="1"/>
                <c:pt idx="0">
                  <c:v>2012</c:v>
                </c:pt>
              </c:strCache>
            </c:strRef>
          </c:tx>
          <c:spPr>
            <a:solidFill>
              <a:schemeClr val="tx2"/>
            </a:solidFill>
            <a:ln>
              <a:solidFill>
                <a:schemeClr val="tx2"/>
              </a:solidFill>
            </a:ln>
          </c:spPr>
          <c:invertIfNegative val="0"/>
          <c:cat>
            <c:strRef>
              <c:f>Sheet1!$A$2:$A$7</c:f>
              <c:strCache>
                <c:ptCount val="6"/>
                <c:pt idx="0">
                  <c:v>Less than $10,000</c:v>
                </c:pt>
                <c:pt idx="1">
                  <c:v>$10,000 up to $15,000</c:v>
                </c:pt>
                <c:pt idx="2">
                  <c:v>$15,000 up to $30,000</c:v>
                </c:pt>
                <c:pt idx="3">
                  <c:v>$30,000 up to $50,000</c:v>
                </c:pt>
                <c:pt idx="4">
                  <c:v>$50,000 up to $70,000</c:v>
                </c:pt>
                <c:pt idx="5">
                  <c:v>More than $70,000</c:v>
                </c:pt>
              </c:strCache>
            </c:strRef>
          </c:cat>
          <c:val>
            <c:numRef>
              <c:f>Sheet1!$E$2:$E$7</c:f>
              <c:numCache>
                <c:formatCode>0.0%</c:formatCode>
                <c:ptCount val="6"/>
                <c:pt idx="0">
                  <c:v>0.18099999999999999</c:v>
                </c:pt>
                <c:pt idx="1">
                  <c:v>0.13200000000000001</c:v>
                </c:pt>
                <c:pt idx="2">
                  <c:v>0.22900000000000001</c:v>
                </c:pt>
                <c:pt idx="3">
                  <c:v>0.20300000000000001</c:v>
                </c:pt>
                <c:pt idx="4">
                  <c:v>0.13800000000000001</c:v>
                </c:pt>
                <c:pt idx="5">
                  <c:v>0.11799999999999999</c:v>
                </c:pt>
              </c:numCache>
            </c:numRef>
          </c:val>
        </c:ser>
        <c:ser>
          <c:idx val="4"/>
          <c:order val="4"/>
          <c:tx>
            <c:strRef>
              <c:f>Sheet1!$F$1</c:f>
              <c:strCache>
                <c:ptCount val="1"/>
                <c:pt idx="0">
                  <c:v>2013</c:v>
                </c:pt>
              </c:strCache>
            </c:strRef>
          </c:tx>
          <c:spPr>
            <a:solidFill>
              <a:schemeClr val="accent1">
                <a:lumMod val="20000"/>
                <a:lumOff val="80000"/>
              </a:schemeClr>
            </a:solidFill>
            <a:ln>
              <a:solidFill>
                <a:schemeClr val="accent1">
                  <a:lumMod val="20000"/>
                  <a:lumOff val="80000"/>
                </a:schemeClr>
              </a:solidFill>
            </a:ln>
          </c:spPr>
          <c:invertIfNegative val="0"/>
          <c:cat>
            <c:strRef>
              <c:f>Sheet1!$A$2:$A$7</c:f>
              <c:strCache>
                <c:ptCount val="6"/>
                <c:pt idx="0">
                  <c:v>Less than $10,000</c:v>
                </c:pt>
                <c:pt idx="1">
                  <c:v>$10,000 up to $15,000</c:v>
                </c:pt>
                <c:pt idx="2">
                  <c:v>$15,000 up to $30,000</c:v>
                </c:pt>
                <c:pt idx="3">
                  <c:v>$30,000 up to $50,000</c:v>
                </c:pt>
                <c:pt idx="4">
                  <c:v>$50,000 up to $70,000</c:v>
                </c:pt>
                <c:pt idx="5">
                  <c:v>More than $70,000</c:v>
                </c:pt>
              </c:strCache>
            </c:strRef>
          </c:cat>
          <c:val>
            <c:numRef>
              <c:f>Sheet1!$F$2:$F$7</c:f>
              <c:numCache>
                <c:formatCode>0.0%</c:formatCode>
                <c:ptCount val="6"/>
                <c:pt idx="0">
                  <c:v>0.157</c:v>
                </c:pt>
                <c:pt idx="1">
                  <c:v>0.152</c:v>
                </c:pt>
                <c:pt idx="2">
                  <c:v>0.253</c:v>
                </c:pt>
                <c:pt idx="3">
                  <c:v>0.193</c:v>
                </c:pt>
                <c:pt idx="4">
                  <c:v>0.126</c:v>
                </c:pt>
                <c:pt idx="5">
                  <c:v>0.12</c:v>
                </c:pt>
              </c:numCache>
            </c:numRef>
          </c:val>
        </c:ser>
        <c:dLbls>
          <c:showLegendKey val="0"/>
          <c:showVal val="0"/>
          <c:showCatName val="0"/>
          <c:showSerName val="0"/>
          <c:showPercent val="0"/>
          <c:showBubbleSize val="0"/>
        </c:dLbls>
        <c:gapWidth val="150"/>
        <c:axId val="113969792"/>
        <c:axId val="113971584"/>
      </c:barChart>
      <c:catAx>
        <c:axId val="113969792"/>
        <c:scaling>
          <c:orientation val="minMax"/>
        </c:scaling>
        <c:delete val="0"/>
        <c:axPos val="b"/>
        <c:majorTickMark val="out"/>
        <c:minorTickMark val="none"/>
        <c:tickLblPos val="nextTo"/>
        <c:crossAx val="113971584"/>
        <c:crosses val="autoZero"/>
        <c:auto val="1"/>
        <c:lblAlgn val="ctr"/>
        <c:lblOffset val="100"/>
        <c:noMultiLvlLbl val="0"/>
      </c:catAx>
      <c:valAx>
        <c:axId val="113971584"/>
        <c:scaling>
          <c:orientation val="minMax"/>
        </c:scaling>
        <c:delete val="0"/>
        <c:axPos val="l"/>
        <c:majorGridlines/>
        <c:numFmt formatCode="0.0%" sourceLinked="1"/>
        <c:majorTickMark val="out"/>
        <c:minorTickMark val="none"/>
        <c:tickLblPos val="nextTo"/>
        <c:crossAx val="113969792"/>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How Patients</a:t>
            </a:r>
            <a:r>
              <a:rPr lang="en-US" baseline="0"/>
              <a:t> Learned about Services*</a:t>
            </a:r>
            <a:endParaRPr lang="en-US"/>
          </a:p>
        </c:rich>
      </c:tx>
      <c:overlay val="0"/>
    </c:title>
    <c:autoTitleDeleted val="0"/>
    <c:plotArea>
      <c:layout/>
      <c:barChart>
        <c:barDir val="col"/>
        <c:grouping val="clustered"/>
        <c:varyColors val="0"/>
        <c:ser>
          <c:idx val="0"/>
          <c:order val="0"/>
          <c:tx>
            <c:strRef>
              <c:f>Sheet1!$B$1</c:f>
              <c:strCache>
                <c:ptCount val="1"/>
                <c:pt idx="0">
                  <c:v>2009</c:v>
                </c:pt>
              </c:strCache>
            </c:strRef>
          </c:tx>
          <c:invertIfNegative val="0"/>
          <c:cat>
            <c:strRef>
              <c:f>Sheet1!$A$2:$A$6</c:f>
              <c:strCache>
                <c:ptCount val="5"/>
                <c:pt idx="0">
                  <c:v>Friend or Relative</c:v>
                </c:pt>
                <c:pt idx="1">
                  <c:v>Emergency Dental Clinic/SOS</c:v>
                </c:pt>
                <c:pt idx="2">
                  <c:v>Dental Student</c:v>
                </c:pt>
                <c:pt idx="3">
                  <c:v>UF College of Dentistry Website</c:v>
                </c:pt>
                <c:pt idx="4">
                  <c:v>Other</c:v>
                </c:pt>
              </c:strCache>
            </c:strRef>
          </c:cat>
          <c:val>
            <c:numRef>
              <c:f>Sheet1!$B$2:$B$6</c:f>
              <c:numCache>
                <c:formatCode>0.0%</c:formatCode>
                <c:ptCount val="5"/>
                <c:pt idx="0">
                  <c:v>0.55800000000000005</c:v>
                </c:pt>
                <c:pt idx="1">
                  <c:v>4.5999999999999999E-2</c:v>
                </c:pt>
                <c:pt idx="2">
                  <c:v>4.8000000000000001E-2</c:v>
                </c:pt>
                <c:pt idx="3">
                  <c:v>6.3E-2</c:v>
                </c:pt>
                <c:pt idx="4">
                  <c:v>0.28599999999999998</c:v>
                </c:pt>
              </c:numCache>
            </c:numRef>
          </c:val>
        </c:ser>
        <c:ser>
          <c:idx val="1"/>
          <c:order val="1"/>
          <c:tx>
            <c:strRef>
              <c:f>Sheet1!$C$1</c:f>
              <c:strCache>
                <c:ptCount val="1"/>
                <c:pt idx="0">
                  <c:v>2010</c:v>
                </c:pt>
              </c:strCache>
            </c:strRef>
          </c:tx>
          <c:spPr>
            <a:solidFill>
              <a:schemeClr val="accent6"/>
            </a:solidFill>
            <a:ln>
              <a:solidFill>
                <a:schemeClr val="accent6"/>
              </a:solidFill>
            </a:ln>
          </c:spPr>
          <c:invertIfNegative val="0"/>
          <c:cat>
            <c:strRef>
              <c:f>Sheet1!$A$2:$A$6</c:f>
              <c:strCache>
                <c:ptCount val="5"/>
                <c:pt idx="0">
                  <c:v>Friend or Relative</c:v>
                </c:pt>
                <c:pt idx="1">
                  <c:v>Emergency Dental Clinic/SOS</c:v>
                </c:pt>
                <c:pt idx="2">
                  <c:v>Dental Student</c:v>
                </c:pt>
                <c:pt idx="3">
                  <c:v>UF College of Dentistry Website</c:v>
                </c:pt>
                <c:pt idx="4">
                  <c:v>Other</c:v>
                </c:pt>
              </c:strCache>
            </c:strRef>
          </c:cat>
          <c:val>
            <c:numRef>
              <c:f>Sheet1!$C$2:$C$6</c:f>
              <c:numCache>
                <c:formatCode>0.0%</c:formatCode>
                <c:ptCount val="5"/>
                <c:pt idx="0">
                  <c:v>0.44800000000000001</c:v>
                </c:pt>
                <c:pt idx="1">
                  <c:v>2.8000000000000001E-2</c:v>
                </c:pt>
                <c:pt idx="2">
                  <c:v>7.6999999999999999E-2</c:v>
                </c:pt>
                <c:pt idx="3">
                  <c:v>4.5999999999999999E-2</c:v>
                </c:pt>
                <c:pt idx="4">
                  <c:v>0.40100000000000002</c:v>
                </c:pt>
              </c:numCache>
            </c:numRef>
          </c:val>
        </c:ser>
        <c:ser>
          <c:idx val="2"/>
          <c:order val="2"/>
          <c:tx>
            <c:strRef>
              <c:f>Sheet1!$D$1</c:f>
              <c:strCache>
                <c:ptCount val="1"/>
                <c:pt idx="0">
                  <c:v>2011</c:v>
                </c:pt>
              </c:strCache>
            </c:strRef>
          </c:tx>
          <c:invertIfNegative val="0"/>
          <c:cat>
            <c:strRef>
              <c:f>Sheet1!$A$2:$A$6</c:f>
              <c:strCache>
                <c:ptCount val="5"/>
                <c:pt idx="0">
                  <c:v>Friend or Relative</c:v>
                </c:pt>
                <c:pt idx="1">
                  <c:v>Emergency Dental Clinic/SOS</c:v>
                </c:pt>
                <c:pt idx="2">
                  <c:v>Dental Student</c:v>
                </c:pt>
                <c:pt idx="3">
                  <c:v>UF College of Dentistry Website</c:v>
                </c:pt>
                <c:pt idx="4">
                  <c:v>Other</c:v>
                </c:pt>
              </c:strCache>
            </c:strRef>
          </c:cat>
          <c:val>
            <c:numRef>
              <c:f>Sheet1!$D$2:$D$6</c:f>
              <c:numCache>
                <c:formatCode>0.0%</c:formatCode>
                <c:ptCount val="5"/>
                <c:pt idx="0">
                  <c:v>0.44900000000000001</c:v>
                </c:pt>
                <c:pt idx="1">
                  <c:v>3.3000000000000002E-2</c:v>
                </c:pt>
                <c:pt idx="2">
                  <c:v>9.7000000000000003E-2</c:v>
                </c:pt>
                <c:pt idx="3">
                  <c:v>3.5999999999999997E-2</c:v>
                </c:pt>
                <c:pt idx="4">
                  <c:v>0.38600000000000001</c:v>
                </c:pt>
              </c:numCache>
            </c:numRef>
          </c:val>
        </c:ser>
        <c:ser>
          <c:idx val="3"/>
          <c:order val="3"/>
          <c:tx>
            <c:strRef>
              <c:f>Sheet1!$E$1</c:f>
              <c:strCache>
                <c:ptCount val="1"/>
                <c:pt idx="0">
                  <c:v>2012</c:v>
                </c:pt>
              </c:strCache>
            </c:strRef>
          </c:tx>
          <c:spPr>
            <a:solidFill>
              <a:schemeClr val="tx2"/>
            </a:solidFill>
            <a:ln>
              <a:solidFill>
                <a:srgbClr val="002060"/>
              </a:solidFill>
            </a:ln>
          </c:spPr>
          <c:invertIfNegative val="0"/>
          <c:cat>
            <c:strRef>
              <c:f>Sheet1!$A$2:$A$6</c:f>
              <c:strCache>
                <c:ptCount val="5"/>
                <c:pt idx="0">
                  <c:v>Friend or Relative</c:v>
                </c:pt>
                <c:pt idx="1">
                  <c:v>Emergency Dental Clinic/SOS</c:v>
                </c:pt>
                <c:pt idx="2">
                  <c:v>Dental Student</c:v>
                </c:pt>
                <c:pt idx="3">
                  <c:v>UF College of Dentistry Website</c:v>
                </c:pt>
                <c:pt idx="4">
                  <c:v>Other</c:v>
                </c:pt>
              </c:strCache>
            </c:strRef>
          </c:cat>
          <c:val>
            <c:numRef>
              <c:f>Sheet1!$E$2:$E$6</c:f>
              <c:numCache>
                <c:formatCode>0.0%</c:formatCode>
                <c:ptCount val="5"/>
                <c:pt idx="0">
                  <c:v>0.503</c:v>
                </c:pt>
                <c:pt idx="1">
                  <c:v>2.3E-2</c:v>
                </c:pt>
                <c:pt idx="2">
                  <c:v>8.2000000000000003E-2</c:v>
                </c:pt>
                <c:pt idx="3">
                  <c:v>0.05</c:v>
                </c:pt>
                <c:pt idx="4">
                  <c:v>0.42499999999999999</c:v>
                </c:pt>
              </c:numCache>
            </c:numRef>
          </c:val>
        </c:ser>
        <c:ser>
          <c:idx val="4"/>
          <c:order val="4"/>
          <c:tx>
            <c:strRef>
              <c:f>Sheet1!$F$1</c:f>
              <c:strCache>
                <c:ptCount val="1"/>
                <c:pt idx="0">
                  <c:v>2013</c:v>
                </c:pt>
              </c:strCache>
            </c:strRef>
          </c:tx>
          <c:spPr>
            <a:solidFill>
              <a:schemeClr val="tx2">
                <a:lumMod val="20000"/>
                <a:lumOff val="80000"/>
              </a:schemeClr>
            </a:solidFill>
            <a:ln>
              <a:solidFill>
                <a:schemeClr val="tx2">
                  <a:lumMod val="20000"/>
                  <a:lumOff val="80000"/>
                </a:schemeClr>
              </a:solidFill>
            </a:ln>
          </c:spPr>
          <c:invertIfNegative val="0"/>
          <c:cat>
            <c:strRef>
              <c:f>Sheet1!$A$2:$A$6</c:f>
              <c:strCache>
                <c:ptCount val="5"/>
                <c:pt idx="0">
                  <c:v>Friend or Relative</c:v>
                </c:pt>
                <c:pt idx="1">
                  <c:v>Emergency Dental Clinic/SOS</c:v>
                </c:pt>
                <c:pt idx="2">
                  <c:v>Dental Student</c:v>
                </c:pt>
                <c:pt idx="3">
                  <c:v>UF College of Dentistry Website</c:v>
                </c:pt>
                <c:pt idx="4">
                  <c:v>Other</c:v>
                </c:pt>
              </c:strCache>
            </c:strRef>
          </c:cat>
          <c:val>
            <c:numRef>
              <c:f>Sheet1!$F$2:$F$6</c:f>
              <c:numCache>
                <c:formatCode>0.0%</c:formatCode>
                <c:ptCount val="5"/>
                <c:pt idx="0">
                  <c:v>0.42399999999999999</c:v>
                </c:pt>
                <c:pt idx="1">
                  <c:v>0.04</c:v>
                </c:pt>
                <c:pt idx="2">
                  <c:v>6.4000000000000001E-2</c:v>
                </c:pt>
                <c:pt idx="3">
                  <c:v>7.3999999999999996E-2</c:v>
                </c:pt>
                <c:pt idx="4">
                  <c:v>0.39800000000000002</c:v>
                </c:pt>
              </c:numCache>
            </c:numRef>
          </c:val>
        </c:ser>
        <c:dLbls>
          <c:showLegendKey val="0"/>
          <c:showVal val="0"/>
          <c:showCatName val="0"/>
          <c:showSerName val="0"/>
          <c:showPercent val="0"/>
          <c:showBubbleSize val="0"/>
        </c:dLbls>
        <c:gapWidth val="150"/>
        <c:axId val="114028544"/>
        <c:axId val="114030080"/>
      </c:barChart>
      <c:catAx>
        <c:axId val="114028544"/>
        <c:scaling>
          <c:orientation val="minMax"/>
        </c:scaling>
        <c:delete val="0"/>
        <c:axPos val="b"/>
        <c:majorTickMark val="out"/>
        <c:minorTickMark val="none"/>
        <c:tickLblPos val="nextTo"/>
        <c:crossAx val="114030080"/>
        <c:crosses val="autoZero"/>
        <c:auto val="1"/>
        <c:lblAlgn val="ctr"/>
        <c:lblOffset val="100"/>
        <c:noMultiLvlLbl val="0"/>
      </c:catAx>
      <c:valAx>
        <c:axId val="114030080"/>
        <c:scaling>
          <c:orientation val="minMax"/>
        </c:scaling>
        <c:delete val="0"/>
        <c:axPos val="l"/>
        <c:majorGridlines/>
        <c:numFmt formatCode="0.0%" sourceLinked="1"/>
        <c:majorTickMark val="out"/>
        <c:minorTickMark val="none"/>
        <c:tickLblPos val="nextTo"/>
        <c:crossAx val="114028544"/>
        <c:crosses val="autoZero"/>
        <c:crossBetween val="between"/>
        <c:majorUnit val="0.2"/>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Length of Time as a Patient</a:t>
            </a:r>
          </a:p>
        </c:rich>
      </c:tx>
      <c:overlay val="0"/>
    </c:title>
    <c:autoTitleDeleted val="0"/>
    <c:plotArea>
      <c:layout/>
      <c:barChart>
        <c:barDir val="col"/>
        <c:grouping val="clustered"/>
        <c:varyColors val="0"/>
        <c:ser>
          <c:idx val="0"/>
          <c:order val="0"/>
          <c:tx>
            <c:strRef>
              <c:f>Sheet1!$B$1</c:f>
              <c:strCache>
                <c:ptCount val="1"/>
                <c:pt idx="0">
                  <c:v>2009</c:v>
                </c:pt>
              </c:strCache>
            </c:strRef>
          </c:tx>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Sheet1!$B$2:$B$6</c:f>
              <c:numCache>
                <c:formatCode>0.0%</c:formatCode>
                <c:ptCount val="5"/>
                <c:pt idx="0">
                  <c:v>0.38</c:v>
                </c:pt>
                <c:pt idx="1">
                  <c:v>0.20799999999999999</c:v>
                </c:pt>
                <c:pt idx="2">
                  <c:v>0.14599999999999999</c:v>
                </c:pt>
                <c:pt idx="3">
                  <c:v>0.125</c:v>
                </c:pt>
                <c:pt idx="4">
                  <c:v>0.14199999999999999</c:v>
                </c:pt>
              </c:numCache>
            </c:numRef>
          </c:val>
        </c:ser>
        <c:ser>
          <c:idx val="1"/>
          <c:order val="1"/>
          <c:tx>
            <c:strRef>
              <c:f>Sheet1!$C$1</c:f>
              <c:strCache>
                <c:ptCount val="1"/>
                <c:pt idx="0">
                  <c:v>2010</c:v>
                </c:pt>
              </c:strCache>
            </c:strRef>
          </c:tx>
          <c:spPr>
            <a:solidFill>
              <a:schemeClr val="accent6"/>
            </a:solidFill>
            <a:ln>
              <a:solidFill>
                <a:srgbClr val="F79646"/>
              </a:solidFill>
            </a:ln>
          </c:spPr>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Sheet1!$C$2:$C$6</c:f>
              <c:numCache>
                <c:formatCode>0.0%</c:formatCode>
                <c:ptCount val="5"/>
                <c:pt idx="0">
                  <c:v>0.28000000000000003</c:v>
                </c:pt>
                <c:pt idx="1">
                  <c:v>0.192</c:v>
                </c:pt>
                <c:pt idx="2">
                  <c:v>0.20100000000000001</c:v>
                </c:pt>
                <c:pt idx="3">
                  <c:v>0.16900000000000001</c:v>
                </c:pt>
                <c:pt idx="4">
                  <c:v>0.159</c:v>
                </c:pt>
              </c:numCache>
            </c:numRef>
          </c:val>
        </c:ser>
        <c:ser>
          <c:idx val="2"/>
          <c:order val="2"/>
          <c:tx>
            <c:strRef>
              <c:f>Sheet1!$D$1</c:f>
              <c:strCache>
                <c:ptCount val="1"/>
                <c:pt idx="0">
                  <c:v>2011</c:v>
                </c:pt>
              </c:strCache>
            </c:strRef>
          </c:tx>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Sheet1!$D$2:$D$6</c:f>
              <c:numCache>
                <c:formatCode>0.0%</c:formatCode>
                <c:ptCount val="5"/>
                <c:pt idx="0">
                  <c:v>0.34</c:v>
                </c:pt>
                <c:pt idx="1">
                  <c:v>0.157</c:v>
                </c:pt>
                <c:pt idx="2">
                  <c:v>0.184</c:v>
                </c:pt>
                <c:pt idx="3">
                  <c:v>0.154</c:v>
                </c:pt>
                <c:pt idx="4">
                  <c:v>0.16500000000000001</c:v>
                </c:pt>
              </c:numCache>
            </c:numRef>
          </c:val>
        </c:ser>
        <c:ser>
          <c:idx val="3"/>
          <c:order val="3"/>
          <c:tx>
            <c:strRef>
              <c:f>Sheet1!$E$1</c:f>
              <c:strCache>
                <c:ptCount val="1"/>
                <c:pt idx="0">
                  <c:v>2012</c:v>
                </c:pt>
              </c:strCache>
            </c:strRef>
          </c:tx>
          <c:spPr>
            <a:solidFill>
              <a:schemeClr val="tx2"/>
            </a:solidFill>
            <a:ln>
              <a:solidFill>
                <a:schemeClr val="tx2"/>
              </a:solidFill>
            </a:ln>
          </c:spPr>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Sheet1!$E$2:$E$6</c:f>
              <c:numCache>
                <c:formatCode>0.0%</c:formatCode>
                <c:ptCount val="5"/>
                <c:pt idx="0">
                  <c:v>0.35099999999999998</c:v>
                </c:pt>
                <c:pt idx="1">
                  <c:v>0.16400000000000001</c:v>
                </c:pt>
                <c:pt idx="2">
                  <c:v>0.16600000000000001</c:v>
                </c:pt>
                <c:pt idx="3">
                  <c:v>0.161</c:v>
                </c:pt>
                <c:pt idx="4">
                  <c:v>0.158</c:v>
                </c:pt>
              </c:numCache>
            </c:numRef>
          </c:val>
        </c:ser>
        <c:ser>
          <c:idx val="4"/>
          <c:order val="4"/>
          <c:tx>
            <c:strRef>
              <c:f>Sheet1!$F$1</c:f>
              <c:strCache>
                <c:ptCount val="1"/>
                <c:pt idx="0">
                  <c:v>2013</c:v>
                </c:pt>
              </c:strCache>
            </c:strRef>
          </c:tx>
          <c:spPr>
            <a:solidFill>
              <a:schemeClr val="accent1">
                <a:lumMod val="20000"/>
                <a:lumOff val="80000"/>
              </a:schemeClr>
            </a:solidFill>
            <a:ln>
              <a:solidFill>
                <a:schemeClr val="accent1">
                  <a:lumMod val="20000"/>
                  <a:lumOff val="80000"/>
                </a:schemeClr>
              </a:solidFill>
            </a:ln>
          </c:spPr>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Sheet1!$F$2:$F$6</c:f>
              <c:numCache>
                <c:formatCode>0.0%</c:formatCode>
                <c:ptCount val="5"/>
                <c:pt idx="0">
                  <c:v>0.35599999999999998</c:v>
                </c:pt>
                <c:pt idx="1">
                  <c:v>0.14099999999999999</c:v>
                </c:pt>
                <c:pt idx="2">
                  <c:v>0.17</c:v>
                </c:pt>
                <c:pt idx="3">
                  <c:v>0.16300000000000001</c:v>
                </c:pt>
                <c:pt idx="4">
                  <c:v>0.17100000000000001</c:v>
                </c:pt>
              </c:numCache>
            </c:numRef>
          </c:val>
        </c:ser>
        <c:dLbls>
          <c:showLegendKey val="0"/>
          <c:showVal val="0"/>
          <c:showCatName val="0"/>
          <c:showSerName val="0"/>
          <c:showPercent val="0"/>
          <c:showBubbleSize val="0"/>
        </c:dLbls>
        <c:gapWidth val="150"/>
        <c:axId val="114180864"/>
        <c:axId val="114182400"/>
      </c:barChart>
      <c:catAx>
        <c:axId val="114180864"/>
        <c:scaling>
          <c:orientation val="minMax"/>
        </c:scaling>
        <c:delete val="0"/>
        <c:axPos val="b"/>
        <c:numFmt formatCode="General" sourceLinked="1"/>
        <c:majorTickMark val="out"/>
        <c:minorTickMark val="none"/>
        <c:tickLblPos val="nextTo"/>
        <c:crossAx val="114182400"/>
        <c:crosses val="autoZero"/>
        <c:auto val="1"/>
        <c:lblAlgn val="ctr"/>
        <c:lblOffset val="100"/>
        <c:noMultiLvlLbl val="0"/>
      </c:catAx>
      <c:valAx>
        <c:axId val="114182400"/>
        <c:scaling>
          <c:orientation val="minMax"/>
        </c:scaling>
        <c:delete val="0"/>
        <c:axPos val="l"/>
        <c:majorGridlines/>
        <c:numFmt formatCode="0.0%" sourceLinked="1"/>
        <c:majorTickMark val="out"/>
        <c:minorTickMark val="none"/>
        <c:tickLblPos val="nextTo"/>
        <c:crossAx val="114180864"/>
        <c:crosses val="autoZero"/>
        <c:crossBetween val="between"/>
        <c:majorUnit val="0.1"/>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Most Important Reason for Coming to UF College of Dentistry (2011-2013)</a:t>
            </a:r>
          </a:p>
        </c:rich>
      </c:tx>
      <c:overlay val="0"/>
    </c:title>
    <c:autoTitleDeleted val="0"/>
    <c:plotArea>
      <c:layout/>
      <c:barChart>
        <c:barDir val="col"/>
        <c:grouping val="clustered"/>
        <c:varyColors val="0"/>
        <c:ser>
          <c:idx val="0"/>
          <c:order val="0"/>
          <c:tx>
            <c:strRef>
              <c:f>Sheet1!$B$1</c:f>
              <c:strCache>
                <c:ptCount val="1"/>
                <c:pt idx="0">
                  <c:v>2011</c:v>
                </c:pt>
              </c:strCache>
            </c:strRef>
          </c:tx>
          <c:spPr>
            <a:solidFill>
              <a:schemeClr val="accent3"/>
            </a:solidFill>
            <a:ln>
              <a:solidFill>
                <a:schemeClr val="accent3"/>
              </a:solidFill>
            </a:ln>
          </c:spPr>
          <c:invertIfNegative val="0"/>
          <c:cat>
            <c:strRef>
              <c:f>Sheet1!$A$2:$A$13</c:f>
              <c:strCache>
                <c:ptCount val="12"/>
                <c:pt idx="0">
                  <c:v>Trust</c:v>
                </c:pt>
                <c:pt idx="1">
                  <c:v>Cost</c:v>
                </c:pt>
                <c:pt idx="2">
                  <c:v>Convenience</c:v>
                </c:pt>
                <c:pt idx="3">
                  <c:v>Quality</c:v>
                </c:pt>
                <c:pt idx="4">
                  <c:v>Ed Dental Students</c:v>
                </c:pt>
                <c:pt idx="5">
                  <c:v>Ed Grad Dentists</c:v>
                </c:pt>
                <c:pt idx="6">
                  <c:v>Referred</c:v>
                </c:pt>
                <c:pt idx="7">
                  <c:v>Medicaid</c:v>
                </c:pt>
                <c:pt idx="8">
                  <c:v>CHOICES</c:v>
                </c:pt>
                <c:pt idx="9">
                  <c:v>Faculty</c:v>
                </c:pt>
                <c:pt idx="10">
                  <c:v>Gator Advantage</c:v>
                </c:pt>
                <c:pt idx="11">
                  <c:v>Other</c:v>
                </c:pt>
              </c:strCache>
            </c:strRef>
          </c:cat>
          <c:val>
            <c:numRef>
              <c:f>Sheet1!$B$2:$B$13</c:f>
              <c:numCache>
                <c:formatCode>0.0%</c:formatCode>
                <c:ptCount val="12"/>
                <c:pt idx="0">
                  <c:v>0.20799999999999999</c:v>
                </c:pt>
                <c:pt idx="1">
                  <c:v>0.3</c:v>
                </c:pt>
                <c:pt idx="2">
                  <c:v>5.8000000000000003E-2</c:v>
                </c:pt>
                <c:pt idx="3">
                  <c:v>0.115</c:v>
                </c:pt>
                <c:pt idx="4">
                  <c:v>4.1000000000000002E-2</c:v>
                </c:pt>
                <c:pt idx="5">
                  <c:v>7.0000000000000001E-3</c:v>
                </c:pt>
                <c:pt idx="6">
                  <c:v>0.13800000000000001</c:v>
                </c:pt>
                <c:pt idx="7">
                  <c:v>4.8000000000000001E-2</c:v>
                </c:pt>
                <c:pt idx="8">
                  <c:v>2.1000000000000001E-2</c:v>
                </c:pt>
                <c:pt idx="9">
                  <c:v>4.8000000000000001E-2</c:v>
                </c:pt>
                <c:pt idx="11">
                  <c:v>1.2999999999999999E-2</c:v>
                </c:pt>
              </c:numCache>
            </c:numRef>
          </c:val>
        </c:ser>
        <c:ser>
          <c:idx val="1"/>
          <c:order val="1"/>
          <c:tx>
            <c:strRef>
              <c:f>Sheet1!$C$1</c:f>
              <c:strCache>
                <c:ptCount val="1"/>
                <c:pt idx="0">
                  <c:v>2012</c:v>
                </c:pt>
              </c:strCache>
            </c:strRef>
          </c:tx>
          <c:spPr>
            <a:solidFill>
              <a:schemeClr val="tx2"/>
            </a:solidFill>
            <a:ln>
              <a:solidFill>
                <a:schemeClr val="tx2"/>
              </a:solidFill>
            </a:ln>
          </c:spPr>
          <c:invertIfNegative val="0"/>
          <c:cat>
            <c:strRef>
              <c:f>Sheet1!$A$2:$A$13</c:f>
              <c:strCache>
                <c:ptCount val="12"/>
                <c:pt idx="0">
                  <c:v>Trust</c:v>
                </c:pt>
                <c:pt idx="1">
                  <c:v>Cost</c:v>
                </c:pt>
                <c:pt idx="2">
                  <c:v>Convenience</c:v>
                </c:pt>
                <c:pt idx="3">
                  <c:v>Quality</c:v>
                </c:pt>
                <c:pt idx="4">
                  <c:v>Ed Dental Students</c:v>
                </c:pt>
                <c:pt idx="5">
                  <c:v>Ed Grad Dentists</c:v>
                </c:pt>
                <c:pt idx="6">
                  <c:v>Referred</c:v>
                </c:pt>
                <c:pt idx="7">
                  <c:v>Medicaid</c:v>
                </c:pt>
                <c:pt idx="8">
                  <c:v>CHOICES</c:v>
                </c:pt>
                <c:pt idx="9">
                  <c:v>Faculty</c:v>
                </c:pt>
                <c:pt idx="10">
                  <c:v>Gator Advantage</c:v>
                </c:pt>
                <c:pt idx="11">
                  <c:v>Other</c:v>
                </c:pt>
              </c:strCache>
            </c:strRef>
          </c:cat>
          <c:val>
            <c:numRef>
              <c:f>Sheet1!$C$2:$C$13</c:f>
              <c:numCache>
                <c:formatCode>0.0%</c:formatCode>
                <c:ptCount val="12"/>
                <c:pt idx="0">
                  <c:v>0.20399999999999999</c:v>
                </c:pt>
                <c:pt idx="1">
                  <c:v>0.33900000000000002</c:v>
                </c:pt>
                <c:pt idx="2">
                  <c:v>3.5000000000000003E-2</c:v>
                </c:pt>
                <c:pt idx="3">
                  <c:v>0.112</c:v>
                </c:pt>
                <c:pt idx="4">
                  <c:v>2.5999999999999999E-2</c:v>
                </c:pt>
                <c:pt idx="5">
                  <c:v>8.9999999999999993E-3</c:v>
                </c:pt>
                <c:pt idx="6">
                  <c:v>0.14599999999999999</c:v>
                </c:pt>
                <c:pt idx="7">
                  <c:v>4.4999999999999998E-2</c:v>
                </c:pt>
                <c:pt idx="8">
                  <c:v>2.9000000000000001E-2</c:v>
                </c:pt>
                <c:pt idx="9">
                  <c:v>2.3E-2</c:v>
                </c:pt>
                <c:pt idx="10">
                  <c:v>3.0000000000000001E-3</c:v>
                </c:pt>
                <c:pt idx="11">
                  <c:v>2.9000000000000001E-2</c:v>
                </c:pt>
              </c:numCache>
            </c:numRef>
          </c:val>
        </c:ser>
        <c:ser>
          <c:idx val="2"/>
          <c:order val="2"/>
          <c:tx>
            <c:strRef>
              <c:f>Sheet1!$D$1</c:f>
              <c:strCache>
                <c:ptCount val="1"/>
                <c:pt idx="0">
                  <c:v>2013</c:v>
                </c:pt>
              </c:strCache>
            </c:strRef>
          </c:tx>
          <c:spPr>
            <a:solidFill>
              <a:schemeClr val="tx2">
                <a:lumMod val="20000"/>
                <a:lumOff val="80000"/>
              </a:schemeClr>
            </a:solidFill>
            <a:ln>
              <a:solidFill>
                <a:schemeClr val="tx2">
                  <a:lumMod val="20000"/>
                  <a:lumOff val="80000"/>
                </a:schemeClr>
              </a:solidFill>
            </a:ln>
          </c:spPr>
          <c:invertIfNegative val="0"/>
          <c:cat>
            <c:strRef>
              <c:f>Sheet1!$A$2:$A$13</c:f>
              <c:strCache>
                <c:ptCount val="12"/>
                <c:pt idx="0">
                  <c:v>Trust</c:v>
                </c:pt>
                <c:pt idx="1">
                  <c:v>Cost</c:v>
                </c:pt>
                <c:pt idx="2">
                  <c:v>Convenience</c:v>
                </c:pt>
                <c:pt idx="3">
                  <c:v>Quality</c:v>
                </c:pt>
                <c:pt idx="4">
                  <c:v>Ed Dental Students</c:v>
                </c:pt>
                <c:pt idx="5">
                  <c:v>Ed Grad Dentists</c:v>
                </c:pt>
                <c:pt idx="6">
                  <c:v>Referred</c:v>
                </c:pt>
                <c:pt idx="7">
                  <c:v>Medicaid</c:v>
                </c:pt>
                <c:pt idx="8">
                  <c:v>CHOICES</c:v>
                </c:pt>
                <c:pt idx="9">
                  <c:v>Faculty</c:v>
                </c:pt>
                <c:pt idx="10">
                  <c:v>Gator Advantage</c:v>
                </c:pt>
                <c:pt idx="11">
                  <c:v>Other</c:v>
                </c:pt>
              </c:strCache>
            </c:strRef>
          </c:cat>
          <c:val>
            <c:numRef>
              <c:f>Sheet1!$D$2:$D$13</c:f>
              <c:numCache>
                <c:formatCode>0.0%</c:formatCode>
                <c:ptCount val="12"/>
                <c:pt idx="0">
                  <c:v>0.254</c:v>
                </c:pt>
                <c:pt idx="1">
                  <c:v>0.26800000000000002</c:v>
                </c:pt>
                <c:pt idx="2">
                  <c:v>4.3999999999999997E-2</c:v>
                </c:pt>
                <c:pt idx="3">
                  <c:v>9.4E-2</c:v>
                </c:pt>
                <c:pt idx="4">
                  <c:v>2.4E-2</c:v>
                </c:pt>
                <c:pt idx="5">
                  <c:v>3.0000000000000001E-3</c:v>
                </c:pt>
                <c:pt idx="6">
                  <c:v>0.16900000000000001</c:v>
                </c:pt>
                <c:pt idx="7">
                  <c:v>5.1999999999999998E-2</c:v>
                </c:pt>
                <c:pt idx="8">
                  <c:v>2.3E-2</c:v>
                </c:pt>
                <c:pt idx="9">
                  <c:v>0.04</c:v>
                </c:pt>
                <c:pt idx="10">
                  <c:v>5.0000000000000001E-3</c:v>
                </c:pt>
                <c:pt idx="11">
                  <c:v>2.3E-2</c:v>
                </c:pt>
              </c:numCache>
            </c:numRef>
          </c:val>
        </c:ser>
        <c:dLbls>
          <c:showLegendKey val="0"/>
          <c:showVal val="0"/>
          <c:showCatName val="0"/>
          <c:showSerName val="0"/>
          <c:showPercent val="0"/>
          <c:showBubbleSize val="0"/>
        </c:dLbls>
        <c:gapWidth val="150"/>
        <c:axId val="112611328"/>
        <c:axId val="112612864"/>
      </c:barChart>
      <c:catAx>
        <c:axId val="112611328"/>
        <c:scaling>
          <c:orientation val="minMax"/>
        </c:scaling>
        <c:delete val="0"/>
        <c:axPos val="b"/>
        <c:numFmt formatCode="General" sourceLinked="1"/>
        <c:majorTickMark val="out"/>
        <c:minorTickMark val="none"/>
        <c:tickLblPos val="nextTo"/>
        <c:crossAx val="112612864"/>
        <c:crosses val="autoZero"/>
        <c:auto val="1"/>
        <c:lblAlgn val="ctr"/>
        <c:lblOffset val="100"/>
        <c:noMultiLvlLbl val="0"/>
      </c:catAx>
      <c:valAx>
        <c:axId val="112612864"/>
        <c:scaling>
          <c:orientation val="minMax"/>
        </c:scaling>
        <c:delete val="0"/>
        <c:axPos val="l"/>
        <c:majorGridlines/>
        <c:numFmt formatCode="0.0%" sourceLinked="1"/>
        <c:majorTickMark val="out"/>
        <c:minorTickMark val="none"/>
        <c:tickLblPos val="nextTo"/>
        <c:crossAx val="112611328"/>
        <c:crosses val="autoZero"/>
        <c:crossBetween val="between"/>
        <c:majorUnit val="0.1"/>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Reasons for Coming to UF CoD (2007-2010)</a:t>
            </a:r>
          </a:p>
        </c:rich>
      </c:tx>
      <c:overlay val="0"/>
    </c:title>
    <c:autoTitleDeleted val="0"/>
    <c:plotArea>
      <c:layout/>
      <c:barChart>
        <c:barDir val="col"/>
        <c:grouping val="clustered"/>
        <c:varyColors val="0"/>
        <c:ser>
          <c:idx val="0"/>
          <c:order val="0"/>
          <c:tx>
            <c:strRef>
              <c:f>Sheet1!$B$1</c:f>
              <c:strCache>
                <c:ptCount val="1"/>
                <c:pt idx="0">
                  <c:v>2007</c:v>
                </c:pt>
              </c:strCache>
            </c:strRef>
          </c:tx>
          <c:invertIfNegative val="0"/>
          <c:cat>
            <c:strRef>
              <c:f>Sheet1!$A$2:$A$5</c:f>
              <c:strCache>
                <c:ptCount val="4"/>
                <c:pt idx="0">
                  <c:v>Quality of care</c:v>
                </c:pt>
                <c:pt idx="1">
                  <c:v>Cost</c:v>
                </c:pt>
                <c:pt idx="2">
                  <c:v>Trust UF</c:v>
                </c:pt>
                <c:pt idx="3">
                  <c:v>Convenience</c:v>
                </c:pt>
              </c:strCache>
            </c:strRef>
          </c:cat>
          <c:val>
            <c:numRef>
              <c:f>Sheet1!$B$2:$B$5</c:f>
              <c:numCache>
                <c:formatCode>0.0%</c:formatCode>
                <c:ptCount val="4"/>
                <c:pt idx="0">
                  <c:v>0.64500000000000268</c:v>
                </c:pt>
                <c:pt idx="1">
                  <c:v>0.62800000000000256</c:v>
                </c:pt>
                <c:pt idx="2">
                  <c:v>0.57800000000000062</c:v>
                </c:pt>
                <c:pt idx="3">
                  <c:v>0.18500000000000041</c:v>
                </c:pt>
              </c:numCache>
            </c:numRef>
          </c:val>
        </c:ser>
        <c:ser>
          <c:idx val="1"/>
          <c:order val="1"/>
          <c:tx>
            <c:strRef>
              <c:f>Sheet1!$C$1</c:f>
              <c:strCache>
                <c:ptCount val="1"/>
                <c:pt idx="0">
                  <c:v>2008</c:v>
                </c:pt>
              </c:strCache>
            </c:strRef>
          </c:tx>
          <c:spPr>
            <a:solidFill>
              <a:schemeClr val="accent6"/>
            </a:solidFill>
            <a:ln>
              <a:solidFill>
                <a:schemeClr val="accent6"/>
              </a:solidFill>
            </a:ln>
          </c:spPr>
          <c:invertIfNegative val="0"/>
          <c:cat>
            <c:strRef>
              <c:f>Sheet1!$A$2:$A$5</c:f>
              <c:strCache>
                <c:ptCount val="4"/>
                <c:pt idx="0">
                  <c:v>Quality of care</c:v>
                </c:pt>
                <c:pt idx="1">
                  <c:v>Cost</c:v>
                </c:pt>
                <c:pt idx="2">
                  <c:v>Trust UF</c:v>
                </c:pt>
                <c:pt idx="3">
                  <c:v>Convenience</c:v>
                </c:pt>
              </c:strCache>
            </c:strRef>
          </c:cat>
          <c:val>
            <c:numRef>
              <c:f>Sheet1!$C$2:$C$5</c:f>
              <c:numCache>
                <c:formatCode>0.0%</c:formatCode>
                <c:ptCount val="4"/>
                <c:pt idx="0">
                  <c:v>0.61500000000000232</c:v>
                </c:pt>
                <c:pt idx="1">
                  <c:v>0.65400000000000302</c:v>
                </c:pt>
                <c:pt idx="2">
                  <c:v>0.56000000000000005</c:v>
                </c:pt>
                <c:pt idx="3">
                  <c:v>0.18000000000000024</c:v>
                </c:pt>
              </c:numCache>
            </c:numRef>
          </c:val>
        </c:ser>
        <c:ser>
          <c:idx val="2"/>
          <c:order val="2"/>
          <c:tx>
            <c:strRef>
              <c:f>Sheet1!$D$1</c:f>
              <c:strCache>
                <c:ptCount val="1"/>
                <c:pt idx="0">
                  <c:v>2009</c:v>
                </c:pt>
              </c:strCache>
            </c:strRef>
          </c:tx>
          <c:invertIfNegative val="0"/>
          <c:cat>
            <c:strRef>
              <c:f>Sheet1!$A$2:$A$5</c:f>
              <c:strCache>
                <c:ptCount val="4"/>
                <c:pt idx="0">
                  <c:v>Quality of care</c:v>
                </c:pt>
                <c:pt idx="1">
                  <c:v>Cost</c:v>
                </c:pt>
                <c:pt idx="2">
                  <c:v>Trust UF</c:v>
                </c:pt>
                <c:pt idx="3">
                  <c:v>Convenience</c:v>
                </c:pt>
              </c:strCache>
            </c:strRef>
          </c:cat>
          <c:val>
            <c:numRef>
              <c:f>Sheet1!$D$2:$D$5</c:f>
              <c:numCache>
                <c:formatCode>0.0%</c:formatCode>
                <c:ptCount val="4"/>
                <c:pt idx="0">
                  <c:v>0.59299999999999997</c:v>
                </c:pt>
                <c:pt idx="1">
                  <c:v>0.69499999999999995</c:v>
                </c:pt>
                <c:pt idx="2">
                  <c:v>0.59</c:v>
                </c:pt>
                <c:pt idx="3">
                  <c:v>0.19800000000000001</c:v>
                </c:pt>
              </c:numCache>
            </c:numRef>
          </c:val>
        </c:ser>
        <c:ser>
          <c:idx val="3"/>
          <c:order val="3"/>
          <c:tx>
            <c:strRef>
              <c:f>Sheet1!$E$1</c:f>
              <c:strCache>
                <c:ptCount val="1"/>
                <c:pt idx="0">
                  <c:v>2010</c:v>
                </c:pt>
              </c:strCache>
            </c:strRef>
          </c:tx>
          <c:spPr>
            <a:solidFill>
              <a:schemeClr val="tx2"/>
            </a:solidFill>
            <a:ln>
              <a:solidFill>
                <a:schemeClr val="tx2"/>
              </a:solidFill>
            </a:ln>
          </c:spPr>
          <c:invertIfNegative val="0"/>
          <c:cat>
            <c:strRef>
              <c:f>Sheet1!$A$2:$A$5</c:f>
              <c:strCache>
                <c:ptCount val="4"/>
                <c:pt idx="0">
                  <c:v>Quality of care</c:v>
                </c:pt>
                <c:pt idx="1">
                  <c:v>Cost</c:v>
                </c:pt>
                <c:pt idx="2">
                  <c:v>Trust UF</c:v>
                </c:pt>
                <c:pt idx="3">
                  <c:v>Convenience</c:v>
                </c:pt>
              </c:strCache>
            </c:strRef>
          </c:cat>
          <c:val>
            <c:numRef>
              <c:f>Sheet1!$E$2:$E$5</c:f>
              <c:numCache>
                <c:formatCode>0.0%</c:formatCode>
                <c:ptCount val="4"/>
                <c:pt idx="0">
                  <c:v>0.44</c:v>
                </c:pt>
                <c:pt idx="1">
                  <c:v>0.54200000000000004</c:v>
                </c:pt>
                <c:pt idx="2">
                  <c:v>0.54200000000000004</c:v>
                </c:pt>
                <c:pt idx="3">
                  <c:v>0.21600000000000041</c:v>
                </c:pt>
              </c:numCache>
            </c:numRef>
          </c:val>
        </c:ser>
        <c:dLbls>
          <c:showLegendKey val="0"/>
          <c:showVal val="0"/>
          <c:showCatName val="0"/>
          <c:showSerName val="0"/>
          <c:showPercent val="0"/>
          <c:showBubbleSize val="0"/>
        </c:dLbls>
        <c:gapWidth val="150"/>
        <c:axId val="114388992"/>
        <c:axId val="114390528"/>
      </c:barChart>
      <c:catAx>
        <c:axId val="114388992"/>
        <c:scaling>
          <c:orientation val="minMax"/>
        </c:scaling>
        <c:delete val="0"/>
        <c:axPos val="b"/>
        <c:majorTickMark val="out"/>
        <c:minorTickMark val="none"/>
        <c:tickLblPos val="nextTo"/>
        <c:crossAx val="114390528"/>
        <c:crosses val="autoZero"/>
        <c:auto val="1"/>
        <c:lblAlgn val="ctr"/>
        <c:lblOffset val="100"/>
        <c:noMultiLvlLbl val="0"/>
      </c:catAx>
      <c:valAx>
        <c:axId val="114390528"/>
        <c:scaling>
          <c:orientation val="minMax"/>
        </c:scaling>
        <c:delete val="0"/>
        <c:axPos val="l"/>
        <c:majorGridlines/>
        <c:numFmt formatCode="0.0%" sourceLinked="1"/>
        <c:majorTickMark val="out"/>
        <c:minorTickMark val="none"/>
        <c:tickLblPos val="nextTo"/>
        <c:crossAx val="114388992"/>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Length of Time to First</a:t>
            </a:r>
            <a:r>
              <a:rPr lang="en-US" baseline="0"/>
              <a:t> Appointment</a:t>
            </a:r>
            <a:r>
              <a:rPr lang="en-US"/>
              <a:t> </a:t>
            </a:r>
          </a:p>
          <a:p>
            <a:pPr>
              <a:defRPr/>
            </a:pPr>
            <a:r>
              <a:rPr lang="en-US"/>
              <a:t>(2010-2013)</a:t>
            </a:r>
          </a:p>
        </c:rich>
      </c:tx>
      <c:overlay val="0"/>
    </c:title>
    <c:autoTitleDeleted val="0"/>
    <c:plotArea>
      <c:layout/>
      <c:barChart>
        <c:barDir val="col"/>
        <c:grouping val="clustered"/>
        <c:varyColors val="0"/>
        <c:ser>
          <c:idx val="0"/>
          <c:order val="0"/>
          <c:tx>
            <c:strRef>
              <c:f>Sheet1!$B$1</c:f>
              <c:strCache>
                <c:ptCount val="1"/>
                <c:pt idx="0">
                  <c:v>2010</c:v>
                </c:pt>
              </c:strCache>
            </c:strRef>
          </c:tx>
          <c:spPr>
            <a:solidFill>
              <a:schemeClr val="accent6"/>
            </a:solidFill>
            <a:ln>
              <a:solidFill>
                <a:schemeClr val="accent6"/>
              </a:solidFill>
            </a:ln>
          </c:spPr>
          <c:invertIfNegative val="0"/>
          <c:cat>
            <c:strRef>
              <c:f>Sheet1!$A$2:$A$5</c:f>
              <c:strCache>
                <c:ptCount val="4"/>
                <c:pt idx="0">
                  <c:v>Less than 2 weeks</c:v>
                </c:pt>
                <c:pt idx="1">
                  <c:v>2 to 4 weeks</c:v>
                </c:pt>
                <c:pt idx="2">
                  <c:v>4 to 8 weeks</c:v>
                </c:pt>
                <c:pt idx="3">
                  <c:v>More than 8 weeks</c:v>
                </c:pt>
              </c:strCache>
            </c:strRef>
          </c:cat>
          <c:val>
            <c:numRef>
              <c:f>Sheet1!$B$2:$B$5</c:f>
              <c:numCache>
                <c:formatCode>0.0%</c:formatCode>
                <c:ptCount val="4"/>
                <c:pt idx="0">
                  <c:v>0.36599999999999999</c:v>
                </c:pt>
                <c:pt idx="1">
                  <c:v>0.38100000000000001</c:v>
                </c:pt>
                <c:pt idx="2">
                  <c:v>0.16800000000000001</c:v>
                </c:pt>
                <c:pt idx="3">
                  <c:v>8.5000000000000006E-2</c:v>
                </c:pt>
              </c:numCache>
            </c:numRef>
          </c:val>
        </c:ser>
        <c:ser>
          <c:idx val="1"/>
          <c:order val="1"/>
          <c:tx>
            <c:strRef>
              <c:f>Sheet1!$C$1</c:f>
              <c:strCache>
                <c:ptCount val="1"/>
                <c:pt idx="0">
                  <c:v>2011</c:v>
                </c:pt>
              </c:strCache>
            </c:strRef>
          </c:tx>
          <c:spPr>
            <a:solidFill>
              <a:schemeClr val="accent3"/>
            </a:solidFill>
            <a:ln>
              <a:solidFill>
                <a:schemeClr val="accent3"/>
              </a:solidFill>
            </a:ln>
          </c:spPr>
          <c:invertIfNegative val="0"/>
          <c:cat>
            <c:strRef>
              <c:f>Sheet1!$A$2:$A$5</c:f>
              <c:strCache>
                <c:ptCount val="4"/>
                <c:pt idx="0">
                  <c:v>Less than 2 weeks</c:v>
                </c:pt>
                <c:pt idx="1">
                  <c:v>2 to 4 weeks</c:v>
                </c:pt>
                <c:pt idx="2">
                  <c:v>4 to 8 weeks</c:v>
                </c:pt>
                <c:pt idx="3">
                  <c:v>More than 8 weeks</c:v>
                </c:pt>
              </c:strCache>
            </c:strRef>
          </c:cat>
          <c:val>
            <c:numRef>
              <c:f>Sheet1!$C$2:$C$5</c:f>
              <c:numCache>
                <c:formatCode>0.0%</c:formatCode>
                <c:ptCount val="4"/>
                <c:pt idx="0">
                  <c:v>0.36199999999999999</c:v>
                </c:pt>
                <c:pt idx="1">
                  <c:v>0.36399999999999999</c:v>
                </c:pt>
                <c:pt idx="2">
                  <c:v>0.16600000000000001</c:v>
                </c:pt>
                <c:pt idx="3">
                  <c:v>0.108</c:v>
                </c:pt>
              </c:numCache>
            </c:numRef>
          </c:val>
        </c:ser>
        <c:ser>
          <c:idx val="2"/>
          <c:order val="2"/>
          <c:tx>
            <c:strRef>
              <c:f>Sheet1!$D$1</c:f>
              <c:strCache>
                <c:ptCount val="1"/>
                <c:pt idx="0">
                  <c:v>2012</c:v>
                </c:pt>
              </c:strCache>
            </c:strRef>
          </c:tx>
          <c:spPr>
            <a:solidFill>
              <a:schemeClr val="tx2"/>
            </a:solidFill>
            <a:ln>
              <a:solidFill>
                <a:schemeClr val="tx2"/>
              </a:solidFill>
            </a:ln>
          </c:spPr>
          <c:invertIfNegative val="0"/>
          <c:cat>
            <c:strRef>
              <c:f>Sheet1!$A$2:$A$5</c:f>
              <c:strCache>
                <c:ptCount val="4"/>
                <c:pt idx="0">
                  <c:v>Less than 2 weeks</c:v>
                </c:pt>
                <c:pt idx="1">
                  <c:v>2 to 4 weeks</c:v>
                </c:pt>
                <c:pt idx="2">
                  <c:v>4 to 8 weeks</c:v>
                </c:pt>
                <c:pt idx="3">
                  <c:v>More than 8 weeks</c:v>
                </c:pt>
              </c:strCache>
            </c:strRef>
          </c:cat>
          <c:val>
            <c:numRef>
              <c:f>Sheet1!$D$2:$D$5</c:f>
              <c:numCache>
                <c:formatCode>0.0%</c:formatCode>
                <c:ptCount val="4"/>
                <c:pt idx="0">
                  <c:v>0.36599999999999999</c:v>
                </c:pt>
                <c:pt idx="1">
                  <c:v>0.38100000000000001</c:v>
                </c:pt>
                <c:pt idx="2">
                  <c:v>0.16900000000000001</c:v>
                </c:pt>
                <c:pt idx="3">
                  <c:v>8.4000000000000005E-2</c:v>
                </c:pt>
              </c:numCache>
            </c:numRef>
          </c:val>
        </c:ser>
        <c:ser>
          <c:idx val="3"/>
          <c:order val="3"/>
          <c:tx>
            <c:strRef>
              <c:f>Sheet1!$E$1</c:f>
              <c:strCache>
                <c:ptCount val="1"/>
                <c:pt idx="0">
                  <c:v>2013</c:v>
                </c:pt>
              </c:strCache>
            </c:strRef>
          </c:tx>
          <c:spPr>
            <a:solidFill>
              <a:schemeClr val="tx2">
                <a:lumMod val="20000"/>
                <a:lumOff val="80000"/>
              </a:schemeClr>
            </a:solidFill>
            <a:ln>
              <a:solidFill>
                <a:schemeClr val="tx2">
                  <a:lumMod val="20000"/>
                  <a:lumOff val="80000"/>
                </a:schemeClr>
              </a:solidFill>
            </a:ln>
          </c:spPr>
          <c:invertIfNegative val="0"/>
          <c:cat>
            <c:strRef>
              <c:f>Sheet1!$A$2:$A$5</c:f>
              <c:strCache>
                <c:ptCount val="4"/>
                <c:pt idx="0">
                  <c:v>Less than 2 weeks</c:v>
                </c:pt>
                <c:pt idx="1">
                  <c:v>2 to 4 weeks</c:v>
                </c:pt>
                <c:pt idx="2">
                  <c:v>4 to 8 weeks</c:v>
                </c:pt>
                <c:pt idx="3">
                  <c:v>More than 8 weeks</c:v>
                </c:pt>
              </c:strCache>
            </c:strRef>
          </c:cat>
          <c:val>
            <c:numRef>
              <c:f>Sheet1!$E$2:$E$5</c:f>
              <c:numCache>
                <c:formatCode>0.0%</c:formatCode>
                <c:ptCount val="4"/>
                <c:pt idx="0">
                  <c:v>0.40200000000000002</c:v>
                </c:pt>
                <c:pt idx="1">
                  <c:v>0.36899999999999999</c:v>
                </c:pt>
                <c:pt idx="2">
                  <c:v>0.17599999999999999</c:v>
                </c:pt>
                <c:pt idx="3">
                  <c:v>5.3999999999999999E-2</c:v>
                </c:pt>
              </c:numCache>
            </c:numRef>
          </c:val>
        </c:ser>
        <c:dLbls>
          <c:showLegendKey val="0"/>
          <c:showVal val="0"/>
          <c:showCatName val="0"/>
          <c:showSerName val="0"/>
          <c:showPercent val="0"/>
          <c:showBubbleSize val="0"/>
        </c:dLbls>
        <c:gapWidth val="150"/>
        <c:axId val="114413568"/>
        <c:axId val="114415104"/>
      </c:barChart>
      <c:catAx>
        <c:axId val="114413568"/>
        <c:scaling>
          <c:orientation val="minMax"/>
        </c:scaling>
        <c:delete val="0"/>
        <c:axPos val="b"/>
        <c:majorTickMark val="out"/>
        <c:minorTickMark val="none"/>
        <c:tickLblPos val="nextTo"/>
        <c:crossAx val="114415104"/>
        <c:crosses val="autoZero"/>
        <c:auto val="1"/>
        <c:lblAlgn val="ctr"/>
        <c:lblOffset val="100"/>
        <c:noMultiLvlLbl val="0"/>
      </c:catAx>
      <c:valAx>
        <c:axId val="114415104"/>
        <c:scaling>
          <c:orientation val="minMax"/>
        </c:scaling>
        <c:delete val="0"/>
        <c:axPos val="l"/>
        <c:majorGridlines/>
        <c:numFmt formatCode="0.0%" sourceLinked="1"/>
        <c:majorTickMark val="out"/>
        <c:minorTickMark val="none"/>
        <c:tickLblPos val="nextTo"/>
        <c:crossAx val="114413568"/>
        <c:crosses val="autoZero"/>
        <c:crossBetween val="between"/>
        <c:majorUnit val="0.1"/>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Patient Services: Time Well-Spent at Clinic</a:t>
            </a:r>
          </a:p>
          <a:p>
            <a:pPr>
              <a:defRPr/>
            </a:pPr>
            <a:r>
              <a:rPr lang="en-US"/>
              <a:t>(2010-2013)</a:t>
            </a:r>
          </a:p>
        </c:rich>
      </c:tx>
      <c:overlay val="0"/>
    </c:title>
    <c:autoTitleDeleted val="0"/>
    <c:plotArea>
      <c:layout/>
      <c:barChart>
        <c:barDir val="col"/>
        <c:grouping val="clustered"/>
        <c:varyColors val="0"/>
        <c:ser>
          <c:idx val="0"/>
          <c:order val="0"/>
          <c:tx>
            <c:strRef>
              <c:f>Sheet1!$B$1</c:f>
              <c:strCache>
                <c:ptCount val="1"/>
                <c:pt idx="0">
                  <c:v>2010</c:v>
                </c:pt>
              </c:strCache>
            </c:strRef>
          </c:tx>
          <c:spPr>
            <a:solidFill>
              <a:schemeClr val="accent6"/>
            </a:solidFill>
            <a:ln>
              <a:solidFill>
                <a:schemeClr val="accent6"/>
              </a:solidFill>
            </a:ln>
          </c:spPr>
          <c:invertIfNegative val="0"/>
          <c:cat>
            <c:strRef>
              <c:f>Sheet1!$A$2:$A$3</c:f>
              <c:strCache>
                <c:ptCount val="2"/>
                <c:pt idx="0">
                  <c:v>Yes</c:v>
                </c:pt>
                <c:pt idx="1">
                  <c:v>No</c:v>
                </c:pt>
              </c:strCache>
            </c:strRef>
          </c:cat>
          <c:val>
            <c:numRef>
              <c:f>Sheet1!$B$2:$B$3</c:f>
              <c:numCache>
                <c:formatCode>0.0%</c:formatCode>
                <c:ptCount val="2"/>
                <c:pt idx="0">
                  <c:v>0.99399999999999999</c:v>
                </c:pt>
                <c:pt idx="1">
                  <c:v>6.0000000000000001E-3</c:v>
                </c:pt>
              </c:numCache>
            </c:numRef>
          </c:val>
        </c:ser>
        <c:ser>
          <c:idx val="1"/>
          <c:order val="1"/>
          <c:tx>
            <c:strRef>
              <c:f>Sheet1!$C$1</c:f>
              <c:strCache>
                <c:ptCount val="1"/>
                <c:pt idx="0">
                  <c:v>2011</c:v>
                </c:pt>
              </c:strCache>
            </c:strRef>
          </c:tx>
          <c:spPr>
            <a:solidFill>
              <a:schemeClr val="accent3"/>
            </a:solidFill>
            <a:ln>
              <a:solidFill>
                <a:schemeClr val="accent3"/>
              </a:solidFill>
            </a:ln>
          </c:spPr>
          <c:invertIfNegative val="0"/>
          <c:cat>
            <c:strRef>
              <c:f>Sheet1!$A$2:$A$3</c:f>
              <c:strCache>
                <c:ptCount val="2"/>
                <c:pt idx="0">
                  <c:v>Yes</c:v>
                </c:pt>
                <c:pt idx="1">
                  <c:v>No</c:v>
                </c:pt>
              </c:strCache>
            </c:strRef>
          </c:cat>
          <c:val>
            <c:numRef>
              <c:f>Sheet1!$C$2:$C$3</c:f>
              <c:numCache>
                <c:formatCode>0.0%</c:formatCode>
                <c:ptCount val="2"/>
                <c:pt idx="0">
                  <c:v>0.98599999999999999</c:v>
                </c:pt>
                <c:pt idx="1">
                  <c:v>1.4E-2</c:v>
                </c:pt>
              </c:numCache>
            </c:numRef>
          </c:val>
        </c:ser>
        <c:ser>
          <c:idx val="2"/>
          <c:order val="2"/>
          <c:tx>
            <c:strRef>
              <c:f>Sheet1!$D$1</c:f>
              <c:strCache>
                <c:ptCount val="1"/>
                <c:pt idx="0">
                  <c:v>2012</c:v>
                </c:pt>
              </c:strCache>
            </c:strRef>
          </c:tx>
          <c:spPr>
            <a:solidFill>
              <a:schemeClr val="tx2"/>
            </a:solidFill>
            <a:ln>
              <a:solidFill>
                <a:schemeClr val="tx2"/>
              </a:solidFill>
            </a:ln>
          </c:spPr>
          <c:invertIfNegative val="0"/>
          <c:cat>
            <c:strRef>
              <c:f>Sheet1!$A$2:$A$3</c:f>
              <c:strCache>
                <c:ptCount val="2"/>
                <c:pt idx="0">
                  <c:v>Yes</c:v>
                </c:pt>
                <c:pt idx="1">
                  <c:v>No</c:v>
                </c:pt>
              </c:strCache>
            </c:strRef>
          </c:cat>
          <c:val>
            <c:numRef>
              <c:f>Sheet1!$D$2:$D$3</c:f>
              <c:numCache>
                <c:formatCode>0.00%</c:formatCode>
                <c:ptCount val="2"/>
                <c:pt idx="0">
                  <c:v>0.98599999999999999</c:v>
                </c:pt>
                <c:pt idx="1">
                  <c:v>1.4E-2</c:v>
                </c:pt>
              </c:numCache>
            </c:numRef>
          </c:val>
        </c:ser>
        <c:ser>
          <c:idx val="3"/>
          <c:order val="3"/>
          <c:tx>
            <c:strRef>
              <c:f>Sheet1!$E$1</c:f>
              <c:strCache>
                <c:ptCount val="1"/>
                <c:pt idx="0">
                  <c:v>2013</c:v>
                </c:pt>
              </c:strCache>
            </c:strRef>
          </c:tx>
          <c:spPr>
            <a:solidFill>
              <a:schemeClr val="tx2">
                <a:lumMod val="20000"/>
                <a:lumOff val="80000"/>
              </a:schemeClr>
            </a:solidFill>
            <a:ln>
              <a:solidFill>
                <a:schemeClr val="tx2">
                  <a:lumMod val="20000"/>
                  <a:lumOff val="80000"/>
                </a:schemeClr>
              </a:solidFill>
            </a:ln>
          </c:spPr>
          <c:invertIfNegative val="0"/>
          <c:cat>
            <c:strRef>
              <c:f>Sheet1!$A$2:$A$3</c:f>
              <c:strCache>
                <c:ptCount val="2"/>
                <c:pt idx="0">
                  <c:v>Yes</c:v>
                </c:pt>
                <c:pt idx="1">
                  <c:v>No</c:v>
                </c:pt>
              </c:strCache>
            </c:strRef>
          </c:cat>
          <c:val>
            <c:numRef>
              <c:f>Sheet1!$E$2:$E$3</c:f>
              <c:numCache>
                <c:formatCode>0.00%</c:formatCode>
                <c:ptCount val="2"/>
                <c:pt idx="0">
                  <c:v>0.98599999999999999</c:v>
                </c:pt>
                <c:pt idx="1">
                  <c:v>1.4E-2</c:v>
                </c:pt>
              </c:numCache>
            </c:numRef>
          </c:val>
        </c:ser>
        <c:dLbls>
          <c:showLegendKey val="0"/>
          <c:showVal val="0"/>
          <c:showCatName val="0"/>
          <c:showSerName val="0"/>
          <c:showPercent val="0"/>
          <c:showBubbleSize val="0"/>
        </c:dLbls>
        <c:gapWidth val="150"/>
        <c:axId val="114540544"/>
        <c:axId val="114542080"/>
      </c:barChart>
      <c:catAx>
        <c:axId val="114540544"/>
        <c:scaling>
          <c:orientation val="minMax"/>
        </c:scaling>
        <c:delete val="0"/>
        <c:axPos val="b"/>
        <c:majorTickMark val="out"/>
        <c:minorTickMark val="none"/>
        <c:tickLblPos val="nextTo"/>
        <c:crossAx val="114542080"/>
        <c:crosses val="autoZero"/>
        <c:auto val="1"/>
        <c:lblAlgn val="ctr"/>
        <c:lblOffset val="100"/>
        <c:noMultiLvlLbl val="0"/>
      </c:catAx>
      <c:valAx>
        <c:axId val="114542080"/>
        <c:scaling>
          <c:orientation val="minMax"/>
          <c:max val="1"/>
          <c:min val="0"/>
        </c:scaling>
        <c:delete val="0"/>
        <c:axPos val="l"/>
        <c:majorGridlines/>
        <c:numFmt formatCode="0.0%" sourceLinked="1"/>
        <c:majorTickMark val="out"/>
        <c:minorTickMark val="none"/>
        <c:tickLblPos val="nextTo"/>
        <c:crossAx val="114540544"/>
        <c:crosses val="autoZero"/>
        <c:crossBetween val="between"/>
        <c:majorUnit val="0.2"/>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Patient Services: Directions to Clinic</a:t>
            </a:r>
          </a:p>
          <a:p>
            <a:pPr>
              <a:defRPr/>
            </a:pPr>
            <a:r>
              <a:rPr lang="en-US"/>
              <a:t>(2010-2013)</a:t>
            </a:r>
          </a:p>
        </c:rich>
      </c:tx>
      <c:overlay val="0"/>
    </c:title>
    <c:autoTitleDeleted val="0"/>
    <c:plotArea>
      <c:layout/>
      <c:barChart>
        <c:barDir val="col"/>
        <c:grouping val="clustered"/>
        <c:varyColors val="0"/>
        <c:ser>
          <c:idx val="0"/>
          <c:order val="0"/>
          <c:tx>
            <c:strRef>
              <c:f>Sheet1!$B$1</c:f>
              <c:strCache>
                <c:ptCount val="1"/>
                <c:pt idx="0">
                  <c:v>2010</c:v>
                </c:pt>
              </c:strCache>
            </c:strRef>
          </c:tx>
          <c:spPr>
            <a:solidFill>
              <a:schemeClr val="accent6"/>
            </a:solidFill>
            <a:ln>
              <a:solidFill>
                <a:schemeClr val="accent6"/>
              </a:solidFill>
            </a:ln>
          </c:spPr>
          <c:invertIfNegative val="0"/>
          <c:cat>
            <c:strRef>
              <c:f>Sheet1!$A$2:$A$3</c:f>
              <c:strCache>
                <c:ptCount val="2"/>
                <c:pt idx="0">
                  <c:v>Yes</c:v>
                </c:pt>
                <c:pt idx="1">
                  <c:v>No</c:v>
                </c:pt>
              </c:strCache>
            </c:strRef>
          </c:cat>
          <c:val>
            <c:numRef>
              <c:f>Sheet1!$B$2:$B$3</c:f>
              <c:numCache>
                <c:formatCode>0.0%</c:formatCode>
                <c:ptCount val="2"/>
                <c:pt idx="0">
                  <c:v>0.97499999999999998</c:v>
                </c:pt>
                <c:pt idx="1">
                  <c:v>2.5000000000000001E-2</c:v>
                </c:pt>
              </c:numCache>
            </c:numRef>
          </c:val>
        </c:ser>
        <c:ser>
          <c:idx val="1"/>
          <c:order val="1"/>
          <c:tx>
            <c:strRef>
              <c:f>Sheet1!$C$1</c:f>
              <c:strCache>
                <c:ptCount val="1"/>
                <c:pt idx="0">
                  <c:v>2011</c:v>
                </c:pt>
              </c:strCache>
            </c:strRef>
          </c:tx>
          <c:spPr>
            <a:solidFill>
              <a:schemeClr val="accent3"/>
            </a:solidFill>
            <a:ln>
              <a:solidFill>
                <a:schemeClr val="accent3"/>
              </a:solidFill>
            </a:ln>
          </c:spPr>
          <c:invertIfNegative val="0"/>
          <c:cat>
            <c:strRef>
              <c:f>Sheet1!$A$2:$A$3</c:f>
              <c:strCache>
                <c:ptCount val="2"/>
                <c:pt idx="0">
                  <c:v>Yes</c:v>
                </c:pt>
                <c:pt idx="1">
                  <c:v>No</c:v>
                </c:pt>
              </c:strCache>
            </c:strRef>
          </c:cat>
          <c:val>
            <c:numRef>
              <c:f>Sheet1!$C$2:$C$3</c:f>
              <c:numCache>
                <c:formatCode>0.0%</c:formatCode>
                <c:ptCount val="2"/>
                <c:pt idx="0">
                  <c:v>0.97699999999999998</c:v>
                </c:pt>
                <c:pt idx="1">
                  <c:v>2.3E-2</c:v>
                </c:pt>
              </c:numCache>
            </c:numRef>
          </c:val>
        </c:ser>
        <c:ser>
          <c:idx val="2"/>
          <c:order val="2"/>
          <c:tx>
            <c:strRef>
              <c:f>Sheet1!$D$1</c:f>
              <c:strCache>
                <c:ptCount val="1"/>
                <c:pt idx="0">
                  <c:v>2012</c:v>
                </c:pt>
              </c:strCache>
            </c:strRef>
          </c:tx>
          <c:spPr>
            <a:solidFill>
              <a:schemeClr val="tx2"/>
            </a:solidFill>
            <a:ln>
              <a:solidFill>
                <a:schemeClr val="tx2"/>
              </a:solidFill>
            </a:ln>
          </c:spPr>
          <c:invertIfNegative val="0"/>
          <c:cat>
            <c:strRef>
              <c:f>Sheet1!$A$2:$A$3</c:f>
              <c:strCache>
                <c:ptCount val="2"/>
                <c:pt idx="0">
                  <c:v>Yes</c:v>
                </c:pt>
                <c:pt idx="1">
                  <c:v>No</c:v>
                </c:pt>
              </c:strCache>
            </c:strRef>
          </c:cat>
          <c:val>
            <c:numRef>
              <c:f>Sheet1!$D$2:$D$3</c:f>
              <c:numCache>
                <c:formatCode>0.00%</c:formatCode>
                <c:ptCount val="2"/>
                <c:pt idx="0">
                  <c:v>0.98299999999999998</c:v>
                </c:pt>
                <c:pt idx="1">
                  <c:v>1.7000000000000001E-2</c:v>
                </c:pt>
              </c:numCache>
            </c:numRef>
          </c:val>
        </c:ser>
        <c:ser>
          <c:idx val="3"/>
          <c:order val="3"/>
          <c:tx>
            <c:strRef>
              <c:f>Sheet1!$E$1</c:f>
              <c:strCache>
                <c:ptCount val="1"/>
                <c:pt idx="0">
                  <c:v>2013</c:v>
                </c:pt>
              </c:strCache>
            </c:strRef>
          </c:tx>
          <c:spPr>
            <a:solidFill>
              <a:schemeClr val="tx2">
                <a:lumMod val="20000"/>
                <a:lumOff val="80000"/>
              </a:schemeClr>
            </a:solidFill>
            <a:ln>
              <a:solidFill>
                <a:schemeClr val="tx2">
                  <a:lumMod val="20000"/>
                  <a:lumOff val="80000"/>
                </a:schemeClr>
              </a:solidFill>
            </a:ln>
          </c:spPr>
          <c:invertIfNegative val="0"/>
          <c:cat>
            <c:strRef>
              <c:f>Sheet1!$A$2:$A$3</c:f>
              <c:strCache>
                <c:ptCount val="2"/>
                <c:pt idx="0">
                  <c:v>Yes</c:v>
                </c:pt>
                <c:pt idx="1">
                  <c:v>No</c:v>
                </c:pt>
              </c:strCache>
            </c:strRef>
          </c:cat>
          <c:val>
            <c:numRef>
              <c:f>Sheet1!$E$2:$E$3</c:f>
              <c:numCache>
                <c:formatCode>0.00%</c:formatCode>
                <c:ptCount val="2"/>
                <c:pt idx="0">
                  <c:v>0.98099999999999998</c:v>
                </c:pt>
                <c:pt idx="1">
                  <c:v>1.9E-2</c:v>
                </c:pt>
              </c:numCache>
            </c:numRef>
          </c:val>
        </c:ser>
        <c:dLbls>
          <c:showLegendKey val="0"/>
          <c:showVal val="0"/>
          <c:showCatName val="0"/>
          <c:showSerName val="0"/>
          <c:showPercent val="0"/>
          <c:showBubbleSize val="0"/>
        </c:dLbls>
        <c:gapWidth val="150"/>
        <c:axId val="114561024"/>
        <c:axId val="114562560"/>
      </c:barChart>
      <c:catAx>
        <c:axId val="114561024"/>
        <c:scaling>
          <c:orientation val="minMax"/>
        </c:scaling>
        <c:delete val="0"/>
        <c:axPos val="b"/>
        <c:majorTickMark val="out"/>
        <c:minorTickMark val="none"/>
        <c:tickLblPos val="nextTo"/>
        <c:crossAx val="114562560"/>
        <c:crosses val="autoZero"/>
        <c:auto val="1"/>
        <c:lblAlgn val="ctr"/>
        <c:lblOffset val="100"/>
        <c:noMultiLvlLbl val="0"/>
      </c:catAx>
      <c:valAx>
        <c:axId val="114562560"/>
        <c:scaling>
          <c:orientation val="minMax"/>
          <c:max val="1"/>
          <c:min val="0"/>
        </c:scaling>
        <c:delete val="0"/>
        <c:axPos val="l"/>
        <c:majorGridlines/>
        <c:numFmt formatCode="0.0%" sourceLinked="1"/>
        <c:majorTickMark val="out"/>
        <c:minorTickMark val="none"/>
        <c:tickLblPos val="nextTo"/>
        <c:crossAx val="114561024"/>
        <c:crosses val="autoZero"/>
        <c:crossBetween val="between"/>
        <c:majorUnit val="0.2"/>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Patient Services: Information</a:t>
            </a:r>
            <a:r>
              <a:rPr lang="en-US" baseline="0"/>
              <a:t> for Finding Registration </a:t>
            </a:r>
            <a:r>
              <a:rPr lang="en-US"/>
              <a:t>(2010-2013)</a:t>
            </a:r>
          </a:p>
        </c:rich>
      </c:tx>
      <c:overlay val="0"/>
    </c:title>
    <c:autoTitleDeleted val="0"/>
    <c:plotArea>
      <c:layout/>
      <c:barChart>
        <c:barDir val="col"/>
        <c:grouping val="clustered"/>
        <c:varyColors val="0"/>
        <c:ser>
          <c:idx val="0"/>
          <c:order val="0"/>
          <c:tx>
            <c:strRef>
              <c:f>Sheet1!$B$1</c:f>
              <c:strCache>
                <c:ptCount val="1"/>
                <c:pt idx="0">
                  <c:v>2010</c:v>
                </c:pt>
              </c:strCache>
            </c:strRef>
          </c:tx>
          <c:spPr>
            <a:solidFill>
              <a:schemeClr val="accent6"/>
            </a:solidFill>
            <a:ln>
              <a:solidFill>
                <a:schemeClr val="accent6"/>
              </a:solidFill>
            </a:ln>
          </c:spPr>
          <c:invertIfNegative val="0"/>
          <c:cat>
            <c:strRef>
              <c:f>Sheet1!$A$2:$A$3</c:f>
              <c:strCache>
                <c:ptCount val="2"/>
                <c:pt idx="0">
                  <c:v>Yes</c:v>
                </c:pt>
                <c:pt idx="1">
                  <c:v>No</c:v>
                </c:pt>
              </c:strCache>
            </c:strRef>
          </c:cat>
          <c:val>
            <c:numRef>
              <c:f>Sheet1!$B$2:$B$3</c:f>
              <c:numCache>
                <c:formatCode>0.0%</c:formatCode>
                <c:ptCount val="2"/>
                <c:pt idx="0">
                  <c:v>0.98099999999999998</c:v>
                </c:pt>
                <c:pt idx="1">
                  <c:v>1.9E-2</c:v>
                </c:pt>
              </c:numCache>
            </c:numRef>
          </c:val>
        </c:ser>
        <c:ser>
          <c:idx val="1"/>
          <c:order val="1"/>
          <c:tx>
            <c:strRef>
              <c:f>Sheet1!$C$1</c:f>
              <c:strCache>
                <c:ptCount val="1"/>
                <c:pt idx="0">
                  <c:v>2011</c:v>
                </c:pt>
              </c:strCache>
            </c:strRef>
          </c:tx>
          <c:spPr>
            <a:solidFill>
              <a:schemeClr val="accent3"/>
            </a:solidFill>
            <a:ln>
              <a:solidFill>
                <a:schemeClr val="accent3"/>
              </a:solidFill>
            </a:ln>
          </c:spPr>
          <c:invertIfNegative val="0"/>
          <c:cat>
            <c:strRef>
              <c:f>Sheet1!$A$2:$A$3</c:f>
              <c:strCache>
                <c:ptCount val="2"/>
                <c:pt idx="0">
                  <c:v>Yes</c:v>
                </c:pt>
                <c:pt idx="1">
                  <c:v>No</c:v>
                </c:pt>
              </c:strCache>
            </c:strRef>
          </c:cat>
          <c:val>
            <c:numRef>
              <c:f>Sheet1!$C$2:$C$3</c:f>
              <c:numCache>
                <c:formatCode>0.0%</c:formatCode>
                <c:ptCount val="2"/>
                <c:pt idx="0">
                  <c:v>0.98499999999999999</c:v>
                </c:pt>
                <c:pt idx="1">
                  <c:v>1.4999999999999999E-2</c:v>
                </c:pt>
              </c:numCache>
            </c:numRef>
          </c:val>
        </c:ser>
        <c:ser>
          <c:idx val="2"/>
          <c:order val="2"/>
          <c:tx>
            <c:strRef>
              <c:f>Sheet1!$D$1</c:f>
              <c:strCache>
                <c:ptCount val="1"/>
                <c:pt idx="0">
                  <c:v>2012</c:v>
                </c:pt>
              </c:strCache>
            </c:strRef>
          </c:tx>
          <c:spPr>
            <a:solidFill>
              <a:schemeClr val="tx2"/>
            </a:solidFill>
            <a:ln>
              <a:solidFill>
                <a:schemeClr val="tx2"/>
              </a:solidFill>
            </a:ln>
          </c:spPr>
          <c:invertIfNegative val="0"/>
          <c:cat>
            <c:strRef>
              <c:f>Sheet1!$A$2:$A$3</c:f>
              <c:strCache>
                <c:ptCount val="2"/>
                <c:pt idx="0">
                  <c:v>Yes</c:v>
                </c:pt>
                <c:pt idx="1">
                  <c:v>No</c:v>
                </c:pt>
              </c:strCache>
            </c:strRef>
          </c:cat>
          <c:val>
            <c:numRef>
              <c:f>Sheet1!$D$2:$D$3</c:f>
              <c:numCache>
                <c:formatCode>0.00%</c:formatCode>
                <c:ptCount val="2"/>
                <c:pt idx="0">
                  <c:v>0.98099999999999998</c:v>
                </c:pt>
                <c:pt idx="1">
                  <c:v>1.9E-2</c:v>
                </c:pt>
              </c:numCache>
            </c:numRef>
          </c:val>
        </c:ser>
        <c:ser>
          <c:idx val="3"/>
          <c:order val="3"/>
          <c:tx>
            <c:strRef>
              <c:f>Sheet1!$E$1</c:f>
              <c:strCache>
                <c:ptCount val="1"/>
                <c:pt idx="0">
                  <c:v>2013</c:v>
                </c:pt>
              </c:strCache>
            </c:strRef>
          </c:tx>
          <c:spPr>
            <a:solidFill>
              <a:schemeClr val="tx2">
                <a:lumMod val="20000"/>
                <a:lumOff val="80000"/>
              </a:schemeClr>
            </a:solidFill>
            <a:ln>
              <a:solidFill>
                <a:schemeClr val="tx2">
                  <a:lumMod val="20000"/>
                  <a:lumOff val="80000"/>
                </a:schemeClr>
              </a:solidFill>
            </a:ln>
          </c:spPr>
          <c:invertIfNegative val="0"/>
          <c:cat>
            <c:strRef>
              <c:f>Sheet1!$A$2:$A$3</c:f>
              <c:strCache>
                <c:ptCount val="2"/>
                <c:pt idx="0">
                  <c:v>Yes</c:v>
                </c:pt>
                <c:pt idx="1">
                  <c:v>No</c:v>
                </c:pt>
              </c:strCache>
            </c:strRef>
          </c:cat>
          <c:val>
            <c:numRef>
              <c:f>Sheet1!$E$2:$E$3</c:f>
              <c:numCache>
                <c:formatCode>0.00%</c:formatCode>
                <c:ptCount val="2"/>
                <c:pt idx="0">
                  <c:v>0.98199999999999998</c:v>
                </c:pt>
                <c:pt idx="1">
                  <c:v>1.7999999999999999E-2</c:v>
                </c:pt>
              </c:numCache>
            </c:numRef>
          </c:val>
        </c:ser>
        <c:dLbls>
          <c:showLegendKey val="0"/>
          <c:showVal val="0"/>
          <c:showCatName val="0"/>
          <c:showSerName val="0"/>
          <c:showPercent val="0"/>
          <c:showBubbleSize val="0"/>
        </c:dLbls>
        <c:gapWidth val="150"/>
        <c:axId val="114609536"/>
        <c:axId val="114619520"/>
      </c:barChart>
      <c:catAx>
        <c:axId val="114609536"/>
        <c:scaling>
          <c:orientation val="minMax"/>
        </c:scaling>
        <c:delete val="0"/>
        <c:axPos val="b"/>
        <c:majorTickMark val="out"/>
        <c:minorTickMark val="none"/>
        <c:tickLblPos val="nextTo"/>
        <c:crossAx val="114619520"/>
        <c:crosses val="autoZero"/>
        <c:auto val="1"/>
        <c:lblAlgn val="ctr"/>
        <c:lblOffset val="100"/>
        <c:noMultiLvlLbl val="0"/>
      </c:catAx>
      <c:valAx>
        <c:axId val="114619520"/>
        <c:scaling>
          <c:orientation val="minMax"/>
          <c:max val="1"/>
          <c:min val="0"/>
        </c:scaling>
        <c:delete val="0"/>
        <c:axPos val="l"/>
        <c:majorGridlines/>
        <c:numFmt formatCode="0.0%" sourceLinked="1"/>
        <c:majorTickMark val="out"/>
        <c:minorTickMark val="none"/>
        <c:tickLblPos val="nextTo"/>
        <c:crossAx val="114609536"/>
        <c:crosses val="autoZero"/>
        <c:crossBetween val="between"/>
        <c:majorUnit val="0.2"/>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Patient Services: Signs </a:t>
            </a:r>
            <a:r>
              <a:rPr lang="en-US" baseline="0"/>
              <a:t>for Patient Registration </a:t>
            </a:r>
            <a:r>
              <a:rPr lang="en-US"/>
              <a:t>(2012-2013)</a:t>
            </a:r>
          </a:p>
        </c:rich>
      </c:tx>
      <c:overlay val="0"/>
    </c:title>
    <c:autoTitleDeleted val="0"/>
    <c:plotArea>
      <c:layout/>
      <c:barChart>
        <c:barDir val="col"/>
        <c:grouping val="clustered"/>
        <c:varyColors val="0"/>
        <c:ser>
          <c:idx val="0"/>
          <c:order val="0"/>
          <c:tx>
            <c:strRef>
              <c:f>Sheet1!$B$1</c:f>
              <c:strCache>
                <c:ptCount val="1"/>
                <c:pt idx="0">
                  <c:v>2012</c:v>
                </c:pt>
              </c:strCache>
            </c:strRef>
          </c:tx>
          <c:spPr>
            <a:solidFill>
              <a:schemeClr val="tx2"/>
            </a:solidFill>
            <a:ln>
              <a:solidFill>
                <a:schemeClr val="tx2"/>
              </a:solidFill>
            </a:ln>
          </c:spPr>
          <c:invertIfNegative val="0"/>
          <c:cat>
            <c:strRef>
              <c:f>Sheet1!$A$2:$A$3</c:f>
              <c:strCache>
                <c:ptCount val="2"/>
                <c:pt idx="0">
                  <c:v>Yes</c:v>
                </c:pt>
                <c:pt idx="1">
                  <c:v>No</c:v>
                </c:pt>
              </c:strCache>
            </c:strRef>
          </c:cat>
          <c:val>
            <c:numRef>
              <c:f>Sheet1!$B$2:$B$3</c:f>
              <c:numCache>
                <c:formatCode>0.0%</c:formatCode>
                <c:ptCount val="2"/>
                <c:pt idx="0">
                  <c:v>0.96899999999999997</c:v>
                </c:pt>
                <c:pt idx="1">
                  <c:v>3.1E-2</c:v>
                </c:pt>
              </c:numCache>
            </c:numRef>
          </c:val>
        </c:ser>
        <c:ser>
          <c:idx val="1"/>
          <c:order val="1"/>
          <c:tx>
            <c:strRef>
              <c:f>Sheet1!$C$1</c:f>
              <c:strCache>
                <c:ptCount val="1"/>
                <c:pt idx="0">
                  <c:v>2013</c:v>
                </c:pt>
              </c:strCache>
            </c:strRef>
          </c:tx>
          <c:spPr>
            <a:solidFill>
              <a:schemeClr val="tx2">
                <a:lumMod val="20000"/>
                <a:lumOff val="80000"/>
              </a:schemeClr>
            </a:solidFill>
            <a:ln>
              <a:solidFill>
                <a:schemeClr val="tx2">
                  <a:lumMod val="20000"/>
                  <a:lumOff val="80000"/>
                </a:schemeClr>
              </a:solidFill>
            </a:ln>
          </c:spPr>
          <c:invertIfNegative val="0"/>
          <c:cat>
            <c:strRef>
              <c:f>Sheet1!$A$2:$A$3</c:f>
              <c:strCache>
                <c:ptCount val="2"/>
                <c:pt idx="0">
                  <c:v>Yes</c:v>
                </c:pt>
                <c:pt idx="1">
                  <c:v>No</c:v>
                </c:pt>
              </c:strCache>
            </c:strRef>
          </c:cat>
          <c:val>
            <c:numRef>
              <c:f>Sheet1!$C$2:$C$3</c:f>
              <c:numCache>
                <c:formatCode>0.0%</c:formatCode>
                <c:ptCount val="2"/>
                <c:pt idx="0">
                  <c:v>0.97099999999999997</c:v>
                </c:pt>
                <c:pt idx="1">
                  <c:v>2.9000000000000001E-2</c:v>
                </c:pt>
              </c:numCache>
            </c:numRef>
          </c:val>
        </c:ser>
        <c:dLbls>
          <c:showLegendKey val="0"/>
          <c:showVal val="0"/>
          <c:showCatName val="0"/>
          <c:showSerName val="0"/>
          <c:showPercent val="0"/>
          <c:showBubbleSize val="0"/>
        </c:dLbls>
        <c:gapWidth val="150"/>
        <c:axId val="114636672"/>
        <c:axId val="114638208"/>
      </c:barChart>
      <c:catAx>
        <c:axId val="114636672"/>
        <c:scaling>
          <c:orientation val="minMax"/>
        </c:scaling>
        <c:delete val="0"/>
        <c:axPos val="b"/>
        <c:majorTickMark val="out"/>
        <c:minorTickMark val="none"/>
        <c:tickLblPos val="nextTo"/>
        <c:crossAx val="114638208"/>
        <c:crosses val="autoZero"/>
        <c:auto val="1"/>
        <c:lblAlgn val="ctr"/>
        <c:lblOffset val="100"/>
        <c:noMultiLvlLbl val="0"/>
      </c:catAx>
      <c:valAx>
        <c:axId val="114638208"/>
        <c:scaling>
          <c:orientation val="minMax"/>
          <c:max val="1"/>
          <c:min val="0"/>
        </c:scaling>
        <c:delete val="0"/>
        <c:axPos val="l"/>
        <c:majorGridlines/>
        <c:numFmt formatCode="0.0%" sourceLinked="1"/>
        <c:majorTickMark val="out"/>
        <c:minorTickMark val="none"/>
        <c:tickLblPos val="nextTo"/>
        <c:crossAx val="114636672"/>
        <c:crosses val="autoZero"/>
        <c:crossBetween val="between"/>
        <c:majorUnit val="0.2"/>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Student</a:t>
            </a:r>
            <a:r>
              <a:rPr lang="en-US" baseline="0"/>
              <a:t> Clinics: </a:t>
            </a:r>
            <a:r>
              <a:rPr lang="en-US"/>
              <a:t>Response by </a:t>
            </a:r>
            <a:r>
              <a:rPr lang="en-US" baseline="0"/>
              <a:t>Patients Seen*</a:t>
            </a:r>
            <a:endParaRPr lang="en-US"/>
          </a:p>
        </c:rich>
      </c:tx>
      <c:overlay val="0"/>
    </c:title>
    <c:autoTitleDeleted val="0"/>
    <c:plotArea>
      <c:layout/>
      <c:barChart>
        <c:barDir val="col"/>
        <c:grouping val="clustered"/>
        <c:varyColors val="0"/>
        <c:ser>
          <c:idx val="0"/>
          <c:order val="0"/>
          <c:tx>
            <c:strRef>
              <c:f>Sheet1!$B$1</c:f>
              <c:strCache>
                <c:ptCount val="1"/>
                <c:pt idx="0">
                  <c:v>2010</c:v>
                </c:pt>
              </c:strCache>
            </c:strRef>
          </c:tx>
          <c:spPr>
            <a:solidFill>
              <a:schemeClr val="accent6"/>
            </a:solidFill>
            <a:ln>
              <a:solidFill>
                <a:schemeClr val="accent6"/>
              </a:solidFill>
            </a:ln>
          </c:spPr>
          <c:invertIfNegative val="0"/>
          <c:cat>
            <c:strRef>
              <c:f>Sheet1!$A$2:$A$7</c:f>
              <c:strCache>
                <c:ptCount val="6"/>
                <c:pt idx="0">
                  <c:v>1A</c:v>
                </c:pt>
                <c:pt idx="1">
                  <c:v>2A</c:v>
                </c:pt>
                <c:pt idx="2">
                  <c:v>2B</c:v>
                </c:pt>
                <c:pt idx="3">
                  <c:v>3A</c:v>
                </c:pt>
                <c:pt idx="4">
                  <c:v>3B</c:v>
                </c:pt>
                <c:pt idx="5">
                  <c:v>APGD</c:v>
                </c:pt>
              </c:strCache>
            </c:strRef>
          </c:cat>
          <c:val>
            <c:numRef>
              <c:f>Sheet1!$B$2:$B$7</c:f>
              <c:numCache>
                <c:formatCode>0.0%</c:formatCode>
                <c:ptCount val="6"/>
                <c:pt idx="0">
                  <c:v>0.61099999999999999</c:v>
                </c:pt>
                <c:pt idx="1">
                  <c:v>0.61399999999999999</c:v>
                </c:pt>
                <c:pt idx="2">
                  <c:v>0.64</c:v>
                </c:pt>
                <c:pt idx="3">
                  <c:v>0.878</c:v>
                </c:pt>
                <c:pt idx="4">
                  <c:v>0.81299999999999994</c:v>
                </c:pt>
              </c:numCache>
            </c:numRef>
          </c:val>
        </c:ser>
        <c:ser>
          <c:idx val="1"/>
          <c:order val="1"/>
          <c:tx>
            <c:strRef>
              <c:f>Sheet1!$C$1</c:f>
              <c:strCache>
                <c:ptCount val="1"/>
                <c:pt idx="0">
                  <c:v>2011</c:v>
                </c:pt>
              </c:strCache>
            </c:strRef>
          </c:tx>
          <c:spPr>
            <a:solidFill>
              <a:schemeClr val="accent3"/>
            </a:solidFill>
            <a:ln>
              <a:solidFill>
                <a:schemeClr val="accent3"/>
              </a:solidFill>
            </a:ln>
          </c:spPr>
          <c:invertIfNegative val="0"/>
          <c:cat>
            <c:strRef>
              <c:f>Sheet1!$A$2:$A$7</c:f>
              <c:strCache>
                <c:ptCount val="6"/>
                <c:pt idx="0">
                  <c:v>1A</c:v>
                </c:pt>
                <c:pt idx="1">
                  <c:v>2A</c:v>
                </c:pt>
                <c:pt idx="2">
                  <c:v>2B</c:v>
                </c:pt>
                <c:pt idx="3">
                  <c:v>3A</c:v>
                </c:pt>
                <c:pt idx="4">
                  <c:v>3B</c:v>
                </c:pt>
                <c:pt idx="5">
                  <c:v>APGD</c:v>
                </c:pt>
              </c:strCache>
            </c:strRef>
          </c:cat>
          <c:val>
            <c:numRef>
              <c:f>Sheet1!$C$2:$C$7</c:f>
              <c:numCache>
                <c:formatCode>0.0%</c:formatCode>
                <c:ptCount val="6"/>
                <c:pt idx="0">
                  <c:v>0.64900000000000002</c:v>
                </c:pt>
                <c:pt idx="1">
                  <c:v>0.32100000000000001</c:v>
                </c:pt>
                <c:pt idx="2">
                  <c:v>0.53900000000000003</c:v>
                </c:pt>
                <c:pt idx="3">
                  <c:v>0.434</c:v>
                </c:pt>
                <c:pt idx="4">
                  <c:v>0.39800000000000002</c:v>
                </c:pt>
              </c:numCache>
            </c:numRef>
          </c:val>
        </c:ser>
        <c:ser>
          <c:idx val="2"/>
          <c:order val="2"/>
          <c:tx>
            <c:strRef>
              <c:f>Sheet1!$D$1</c:f>
              <c:strCache>
                <c:ptCount val="1"/>
                <c:pt idx="0">
                  <c:v>2012</c:v>
                </c:pt>
              </c:strCache>
            </c:strRef>
          </c:tx>
          <c:spPr>
            <a:solidFill>
              <a:schemeClr val="tx2"/>
            </a:solidFill>
            <a:ln>
              <a:solidFill>
                <a:schemeClr val="tx2"/>
              </a:solidFill>
            </a:ln>
          </c:spPr>
          <c:invertIfNegative val="0"/>
          <c:cat>
            <c:strRef>
              <c:f>Sheet1!$A$2:$A$7</c:f>
              <c:strCache>
                <c:ptCount val="6"/>
                <c:pt idx="0">
                  <c:v>1A</c:v>
                </c:pt>
                <c:pt idx="1">
                  <c:v>2A</c:v>
                </c:pt>
                <c:pt idx="2">
                  <c:v>2B</c:v>
                </c:pt>
                <c:pt idx="3">
                  <c:v>3A</c:v>
                </c:pt>
                <c:pt idx="4">
                  <c:v>3B</c:v>
                </c:pt>
                <c:pt idx="5">
                  <c:v>APGD</c:v>
                </c:pt>
              </c:strCache>
            </c:strRef>
          </c:cat>
          <c:val>
            <c:numRef>
              <c:f>Sheet1!$D$2:$D$7</c:f>
              <c:numCache>
                <c:formatCode>0.0%</c:formatCode>
                <c:ptCount val="6"/>
                <c:pt idx="1">
                  <c:v>0.60140000000000005</c:v>
                </c:pt>
                <c:pt idx="2">
                  <c:v>0.57469999999999999</c:v>
                </c:pt>
                <c:pt idx="3">
                  <c:v>0.59540000000000004</c:v>
                </c:pt>
                <c:pt idx="4">
                  <c:v>0.56730000000000003</c:v>
                </c:pt>
                <c:pt idx="5">
                  <c:v>0.92159999999999997</c:v>
                </c:pt>
              </c:numCache>
            </c:numRef>
          </c:val>
        </c:ser>
        <c:ser>
          <c:idx val="3"/>
          <c:order val="3"/>
          <c:tx>
            <c:strRef>
              <c:f>Sheet1!$E$1</c:f>
              <c:strCache>
                <c:ptCount val="1"/>
                <c:pt idx="0">
                  <c:v>2013</c:v>
                </c:pt>
              </c:strCache>
            </c:strRef>
          </c:tx>
          <c:spPr>
            <a:solidFill>
              <a:schemeClr val="tx2">
                <a:lumMod val="20000"/>
                <a:lumOff val="80000"/>
              </a:schemeClr>
            </a:solidFill>
            <a:ln>
              <a:solidFill>
                <a:schemeClr val="tx2">
                  <a:lumMod val="20000"/>
                  <a:lumOff val="80000"/>
                </a:schemeClr>
              </a:solidFill>
            </a:ln>
          </c:spPr>
          <c:invertIfNegative val="0"/>
          <c:cat>
            <c:strRef>
              <c:f>Sheet1!$A$2:$A$7</c:f>
              <c:strCache>
                <c:ptCount val="6"/>
                <c:pt idx="0">
                  <c:v>1A</c:v>
                </c:pt>
                <c:pt idx="1">
                  <c:v>2A</c:v>
                </c:pt>
                <c:pt idx="2">
                  <c:v>2B</c:v>
                </c:pt>
                <c:pt idx="3">
                  <c:v>3A</c:v>
                </c:pt>
                <c:pt idx="4">
                  <c:v>3B</c:v>
                </c:pt>
                <c:pt idx="5">
                  <c:v>APGD</c:v>
                </c:pt>
              </c:strCache>
            </c:strRef>
          </c:cat>
          <c:val>
            <c:numRef>
              <c:f>Sheet1!$E$2:$E$7</c:f>
              <c:numCache>
                <c:formatCode>0.0%</c:formatCode>
                <c:ptCount val="6"/>
                <c:pt idx="1">
                  <c:v>0.622</c:v>
                </c:pt>
                <c:pt idx="2">
                  <c:v>0.73899999999999999</c:v>
                </c:pt>
                <c:pt idx="3">
                  <c:v>0.621</c:v>
                </c:pt>
                <c:pt idx="4">
                  <c:v>0.55900000000000005</c:v>
                </c:pt>
              </c:numCache>
            </c:numRef>
          </c:val>
        </c:ser>
        <c:dLbls>
          <c:showLegendKey val="0"/>
          <c:showVal val="0"/>
          <c:showCatName val="0"/>
          <c:showSerName val="0"/>
          <c:showPercent val="0"/>
          <c:showBubbleSize val="0"/>
        </c:dLbls>
        <c:gapWidth val="150"/>
        <c:axId val="75010432"/>
        <c:axId val="75011968"/>
      </c:barChart>
      <c:catAx>
        <c:axId val="75010432"/>
        <c:scaling>
          <c:orientation val="minMax"/>
        </c:scaling>
        <c:delete val="0"/>
        <c:axPos val="b"/>
        <c:majorTickMark val="out"/>
        <c:minorTickMark val="none"/>
        <c:tickLblPos val="nextTo"/>
        <c:crossAx val="75011968"/>
        <c:crosses val="autoZero"/>
        <c:auto val="1"/>
        <c:lblAlgn val="ctr"/>
        <c:lblOffset val="100"/>
        <c:noMultiLvlLbl val="0"/>
      </c:catAx>
      <c:valAx>
        <c:axId val="75011968"/>
        <c:scaling>
          <c:orientation val="minMax"/>
        </c:scaling>
        <c:delete val="0"/>
        <c:axPos val="l"/>
        <c:majorGridlines/>
        <c:numFmt formatCode="0.0%" sourceLinked="1"/>
        <c:majorTickMark val="out"/>
        <c:minorTickMark val="none"/>
        <c:tickLblPos val="nextTo"/>
        <c:crossAx val="75010432"/>
        <c:crosses val="autoZero"/>
        <c:crossBetween val="between"/>
        <c:majorUnit val="0.2"/>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Appearance of Reception</a:t>
            </a:r>
            <a:r>
              <a:rPr lang="en-US" sz="1600" baseline="0"/>
              <a:t> Area*</a:t>
            </a:r>
            <a:r>
              <a:rPr lang="en-US" sz="1600"/>
              <a:t> </a:t>
            </a:r>
          </a:p>
          <a:p>
            <a:pPr>
              <a:defRPr/>
            </a:pPr>
            <a:r>
              <a:rPr lang="en-US" sz="1600"/>
              <a:t>(2010-2013)</a:t>
            </a:r>
          </a:p>
        </c:rich>
      </c:tx>
      <c:overlay val="0"/>
    </c:title>
    <c:autoTitleDeleted val="0"/>
    <c:plotArea>
      <c:layout/>
      <c:barChart>
        <c:barDir val="col"/>
        <c:grouping val="clustered"/>
        <c:varyColors val="0"/>
        <c:ser>
          <c:idx val="0"/>
          <c:order val="0"/>
          <c:tx>
            <c:strRef>
              <c:f>Sheet1!$B$1</c:f>
              <c:strCache>
                <c:ptCount val="1"/>
                <c:pt idx="0">
                  <c:v>2010</c:v>
                </c:pt>
              </c:strCache>
            </c:strRef>
          </c:tx>
          <c:spPr>
            <a:solidFill>
              <a:schemeClr val="accent6"/>
            </a:solidFill>
            <a:ln>
              <a:solidFill>
                <a:schemeClr val="accent6"/>
              </a:solidFill>
            </a:ln>
          </c:spPr>
          <c:invertIfNegative val="0"/>
          <c:cat>
            <c:strRef>
              <c:f>Sheet1!$A$2:$A$6</c:f>
              <c:strCache>
                <c:ptCount val="5"/>
                <c:pt idx="0">
                  <c:v>Excellent</c:v>
                </c:pt>
                <c:pt idx="1">
                  <c:v>Very Good</c:v>
                </c:pt>
                <c:pt idx="2">
                  <c:v>Good</c:v>
                </c:pt>
                <c:pt idx="3">
                  <c:v>Fair</c:v>
                </c:pt>
                <c:pt idx="4">
                  <c:v>Poor</c:v>
                </c:pt>
              </c:strCache>
            </c:strRef>
          </c:cat>
          <c:val>
            <c:numRef>
              <c:f>Sheet1!$B$2:$B$6</c:f>
              <c:numCache>
                <c:formatCode>0.0%</c:formatCode>
                <c:ptCount val="5"/>
                <c:pt idx="0">
                  <c:v>0.46800000000000003</c:v>
                </c:pt>
                <c:pt idx="1">
                  <c:v>0.33</c:v>
                </c:pt>
                <c:pt idx="2">
                  <c:v>0.14799999999999999</c:v>
                </c:pt>
                <c:pt idx="3">
                  <c:v>3.5000000000000003E-2</c:v>
                </c:pt>
                <c:pt idx="4">
                  <c:v>1.9E-2</c:v>
                </c:pt>
              </c:numCache>
            </c:numRef>
          </c:val>
        </c:ser>
        <c:ser>
          <c:idx val="1"/>
          <c:order val="1"/>
          <c:tx>
            <c:strRef>
              <c:f>Sheet1!$C$1</c:f>
              <c:strCache>
                <c:ptCount val="1"/>
                <c:pt idx="0">
                  <c:v>2011</c:v>
                </c:pt>
              </c:strCache>
            </c:strRef>
          </c:tx>
          <c:spPr>
            <a:solidFill>
              <a:schemeClr val="accent3"/>
            </a:solidFill>
            <a:ln>
              <a:solidFill>
                <a:schemeClr val="accent3"/>
              </a:solidFill>
            </a:ln>
          </c:spPr>
          <c:invertIfNegative val="0"/>
          <c:cat>
            <c:strRef>
              <c:f>Sheet1!$A$2:$A$6</c:f>
              <c:strCache>
                <c:ptCount val="5"/>
                <c:pt idx="0">
                  <c:v>Excellent</c:v>
                </c:pt>
                <c:pt idx="1">
                  <c:v>Very Good</c:v>
                </c:pt>
                <c:pt idx="2">
                  <c:v>Good</c:v>
                </c:pt>
                <c:pt idx="3">
                  <c:v>Fair</c:v>
                </c:pt>
                <c:pt idx="4">
                  <c:v>Poor</c:v>
                </c:pt>
              </c:strCache>
            </c:strRef>
          </c:cat>
          <c:val>
            <c:numRef>
              <c:f>Sheet1!$C$2:$C$6</c:f>
              <c:numCache>
                <c:formatCode>0.0%</c:formatCode>
                <c:ptCount val="5"/>
                <c:pt idx="0">
                  <c:v>0.46899999999999997</c:v>
                </c:pt>
                <c:pt idx="1">
                  <c:v>0.36399999999999999</c:v>
                </c:pt>
                <c:pt idx="2">
                  <c:v>0.13300000000000001</c:v>
                </c:pt>
                <c:pt idx="3">
                  <c:v>1.7000000000000001E-2</c:v>
                </c:pt>
                <c:pt idx="4">
                  <c:v>1.7999999999999999E-2</c:v>
                </c:pt>
              </c:numCache>
            </c:numRef>
          </c:val>
        </c:ser>
        <c:ser>
          <c:idx val="2"/>
          <c:order val="2"/>
          <c:tx>
            <c:strRef>
              <c:f>Sheet1!$D$1</c:f>
              <c:strCache>
                <c:ptCount val="1"/>
                <c:pt idx="0">
                  <c:v>2012</c:v>
                </c:pt>
              </c:strCache>
            </c:strRef>
          </c:tx>
          <c:spPr>
            <a:solidFill>
              <a:schemeClr val="tx2"/>
            </a:solidFill>
            <a:ln>
              <a:solidFill>
                <a:schemeClr val="tx2"/>
              </a:solidFill>
            </a:ln>
          </c:spPr>
          <c:invertIfNegative val="0"/>
          <c:cat>
            <c:strRef>
              <c:f>Sheet1!$A$2:$A$6</c:f>
              <c:strCache>
                <c:ptCount val="5"/>
                <c:pt idx="0">
                  <c:v>Excellent</c:v>
                </c:pt>
                <c:pt idx="1">
                  <c:v>Very Good</c:v>
                </c:pt>
                <c:pt idx="2">
                  <c:v>Good</c:v>
                </c:pt>
                <c:pt idx="3">
                  <c:v>Fair</c:v>
                </c:pt>
                <c:pt idx="4">
                  <c:v>Poor</c:v>
                </c:pt>
              </c:strCache>
            </c:strRef>
          </c:cat>
          <c:val>
            <c:numRef>
              <c:f>Sheet1!$D$2:$D$6</c:f>
              <c:numCache>
                <c:formatCode>0.0%</c:formatCode>
                <c:ptCount val="5"/>
                <c:pt idx="0">
                  <c:v>0.60299999999999998</c:v>
                </c:pt>
                <c:pt idx="1">
                  <c:v>0.34</c:v>
                </c:pt>
                <c:pt idx="3">
                  <c:v>5.0999999999999997E-2</c:v>
                </c:pt>
                <c:pt idx="4">
                  <c:v>6.0000000000000001E-3</c:v>
                </c:pt>
              </c:numCache>
            </c:numRef>
          </c:val>
        </c:ser>
        <c:ser>
          <c:idx val="3"/>
          <c:order val="3"/>
          <c:tx>
            <c:strRef>
              <c:f>Sheet1!$E$1</c:f>
              <c:strCache>
                <c:ptCount val="1"/>
                <c:pt idx="0">
                  <c:v>2013</c:v>
                </c:pt>
              </c:strCache>
            </c:strRef>
          </c:tx>
          <c:spPr>
            <a:solidFill>
              <a:schemeClr val="tx2">
                <a:lumMod val="20000"/>
                <a:lumOff val="80000"/>
              </a:schemeClr>
            </a:solidFill>
            <a:ln>
              <a:solidFill>
                <a:schemeClr val="tx2">
                  <a:lumMod val="20000"/>
                  <a:lumOff val="80000"/>
                </a:schemeClr>
              </a:solidFill>
            </a:ln>
          </c:spPr>
          <c:invertIfNegative val="0"/>
          <c:cat>
            <c:strRef>
              <c:f>Sheet1!$A$2:$A$6</c:f>
              <c:strCache>
                <c:ptCount val="5"/>
                <c:pt idx="0">
                  <c:v>Excellent</c:v>
                </c:pt>
                <c:pt idx="1">
                  <c:v>Very Good</c:v>
                </c:pt>
                <c:pt idx="2">
                  <c:v>Good</c:v>
                </c:pt>
                <c:pt idx="3">
                  <c:v>Fair</c:v>
                </c:pt>
                <c:pt idx="4">
                  <c:v>Poor</c:v>
                </c:pt>
              </c:strCache>
            </c:strRef>
          </c:cat>
          <c:val>
            <c:numRef>
              <c:f>Sheet1!$E$2:$E$6</c:f>
              <c:numCache>
                <c:formatCode>0.0%</c:formatCode>
                <c:ptCount val="5"/>
                <c:pt idx="0">
                  <c:v>0.57899999999999996</c:v>
                </c:pt>
                <c:pt idx="1">
                  <c:v>0.35</c:v>
                </c:pt>
                <c:pt idx="3">
                  <c:v>6.3E-2</c:v>
                </c:pt>
                <c:pt idx="4">
                  <c:v>8.0000000000000002E-3</c:v>
                </c:pt>
              </c:numCache>
            </c:numRef>
          </c:val>
        </c:ser>
        <c:dLbls>
          <c:showLegendKey val="0"/>
          <c:showVal val="0"/>
          <c:showCatName val="0"/>
          <c:showSerName val="0"/>
          <c:showPercent val="0"/>
          <c:showBubbleSize val="0"/>
        </c:dLbls>
        <c:gapWidth val="150"/>
        <c:axId val="115623808"/>
        <c:axId val="115625344"/>
      </c:barChart>
      <c:catAx>
        <c:axId val="115623808"/>
        <c:scaling>
          <c:orientation val="minMax"/>
        </c:scaling>
        <c:delete val="0"/>
        <c:axPos val="b"/>
        <c:majorTickMark val="out"/>
        <c:minorTickMark val="none"/>
        <c:tickLblPos val="nextTo"/>
        <c:crossAx val="115625344"/>
        <c:crosses val="autoZero"/>
        <c:auto val="1"/>
        <c:lblAlgn val="ctr"/>
        <c:lblOffset val="100"/>
        <c:noMultiLvlLbl val="0"/>
      </c:catAx>
      <c:valAx>
        <c:axId val="115625344"/>
        <c:scaling>
          <c:orientation val="minMax"/>
        </c:scaling>
        <c:delete val="0"/>
        <c:axPos val="l"/>
        <c:majorGridlines/>
        <c:numFmt formatCode="0.0%" sourceLinked="1"/>
        <c:majorTickMark val="out"/>
        <c:minorTickMark val="none"/>
        <c:tickLblPos val="nextTo"/>
        <c:crossAx val="115623808"/>
        <c:crosses val="autoZero"/>
        <c:crossBetween val="between"/>
        <c:majorUnit val="0.1"/>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Cleanliness of Dental Clinics* (2010-2013)</a:t>
            </a:r>
          </a:p>
        </c:rich>
      </c:tx>
      <c:overlay val="0"/>
    </c:title>
    <c:autoTitleDeleted val="0"/>
    <c:plotArea>
      <c:layout/>
      <c:barChart>
        <c:barDir val="col"/>
        <c:grouping val="clustered"/>
        <c:varyColors val="0"/>
        <c:ser>
          <c:idx val="0"/>
          <c:order val="0"/>
          <c:tx>
            <c:strRef>
              <c:f>Sheet1!$B$1</c:f>
              <c:strCache>
                <c:ptCount val="1"/>
                <c:pt idx="0">
                  <c:v>2010</c:v>
                </c:pt>
              </c:strCache>
            </c:strRef>
          </c:tx>
          <c:spPr>
            <a:solidFill>
              <a:schemeClr val="accent6"/>
            </a:solidFill>
            <a:ln>
              <a:solidFill>
                <a:schemeClr val="accent6"/>
              </a:solidFill>
            </a:ln>
          </c:spPr>
          <c:invertIfNegative val="0"/>
          <c:cat>
            <c:strRef>
              <c:f>Sheet1!$A$2:$A$6</c:f>
              <c:strCache>
                <c:ptCount val="5"/>
                <c:pt idx="0">
                  <c:v>Excellent</c:v>
                </c:pt>
                <c:pt idx="1">
                  <c:v>Very Good</c:v>
                </c:pt>
                <c:pt idx="2">
                  <c:v>Good</c:v>
                </c:pt>
                <c:pt idx="3">
                  <c:v>Fair</c:v>
                </c:pt>
                <c:pt idx="4">
                  <c:v>Poor</c:v>
                </c:pt>
              </c:strCache>
            </c:strRef>
          </c:cat>
          <c:val>
            <c:numRef>
              <c:f>Sheet1!$B$2:$B$6</c:f>
              <c:numCache>
                <c:formatCode>0.0%</c:formatCode>
                <c:ptCount val="5"/>
                <c:pt idx="0">
                  <c:v>0.66300000000000003</c:v>
                </c:pt>
                <c:pt idx="1">
                  <c:v>0.254</c:v>
                </c:pt>
                <c:pt idx="2">
                  <c:v>7.0999999999999994E-2</c:v>
                </c:pt>
                <c:pt idx="3">
                  <c:v>1.0999999999999999E-2</c:v>
                </c:pt>
                <c:pt idx="4">
                  <c:v>1E-3</c:v>
                </c:pt>
              </c:numCache>
            </c:numRef>
          </c:val>
        </c:ser>
        <c:ser>
          <c:idx val="1"/>
          <c:order val="1"/>
          <c:tx>
            <c:strRef>
              <c:f>Sheet1!$C$1</c:f>
              <c:strCache>
                <c:ptCount val="1"/>
                <c:pt idx="0">
                  <c:v>2011</c:v>
                </c:pt>
              </c:strCache>
            </c:strRef>
          </c:tx>
          <c:spPr>
            <a:solidFill>
              <a:schemeClr val="accent3"/>
            </a:solidFill>
            <a:ln>
              <a:solidFill>
                <a:schemeClr val="accent3"/>
              </a:solidFill>
            </a:ln>
          </c:spPr>
          <c:invertIfNegative val="0"/>
          <c:cat>
            <c:strRef>
              <c:f>Sheet1!$A$2:$A$6</c:f>
              <c:strCache>
                <c:ptCount val="5"/>
                <c:pt idx="0">
                  <c:v>Excellent</c:v>
                </c:pt>
                <c:pt idx="1">
                  <c:v>Very Good</c:v>
                </c:pt>
                <c:pt idx="2">
                  <c:v>Good</c:v>
                </c:pt>
                <c:pt idx="3">
                  <c:v>Fair</c:v>
                </c:pt>
                <c:pt idx="4">
                  <c:v>Poor</c:v>
                </c:pt>
              </c:strCache>
            </c:strRef>
          </c:cat>
          <c:val>
            <c:numRef>
              <c:f>Sheet1!$C$2:$C$6</c:f>
              <c:numCache>
                <c:formatCode>0.0%</c:formatCode>
                <c:ptCount val="5"/>
                <c:pt idx="0">
                  <c:v>0.66400000000000003</c:v>
                </c:pt>
                <c:pt idx="1">
                  <c:v>0.27500000000000002</c:v>
                </c:pt>
                <c:pt idx="2">
                  <c:v>5.2999999999999999E-2</c:v>
                </c:pt>
                <c:pt idx="3">
                  <c:v>3.0000000000000001E-3</c:v>
                </c:pt>
                <c:pt idx="4">
                  <c:v>5.0000000000000001E-3</c:v>
                </c:pt>
              </c:numCache>
            </c:numRef>
          </c:val>
        </c:ser>
        <c:ser>
          <c:idx val="2"/>
          <c:order val="2"/>
          <c:tx>
            <c:strRef>
              <c:f>Sheet1!$D$1</c:f>
              <c:strCache>
                <c:ptCount val="1"/>
                <c:pt idx="0">
                  <c:v>2012</c:v>
                </c:pt>
              </c:strCache>
            </c:strRef>
          </c:tx>
          <c:spPr>
            <a:solidFill>
              <a:schemeClr val="tx2"/>
            </a:solidFill>
            <a:ln>
              <a:solidFill>
                <a:schemeClr val="tx2"/>
              </a:solidFill>
            </a:ln>
          </c:spPr>
          <c:invertIfNegative val="0"/>
          <c:cat>
            <c:strRef>
              <c:f>Sheet1!$A$2:$A$6</c:f>
              <c:strCache>
                <c:ptCount val="5"/>
                <c:pt idx="0">
                  <c:v>Excellent</c:v>
                </c:pt>
                <c:pt idx="1">
                  <c:v>Very Good</c:v>
                </c:pt>
                <c:pt idx="2">
                  <c:v>Good</c:v>
                </c:pt>
                <c:pt idx="3">
                  <c:v>Fair</c:v>
                </c:pt>
                <c:pt idx="4">
                  <c:v>Poor</c:v>
                </c:pt>
              </c:strCache>
            </c:strRef>
          </c:cat>
          <c:val>
            <c:numRef>
              <c:f>Sheet1!$D$2:$D$6</c:f>
              <c:numCache>
                <c:formatCode>0.0%</c:formatCode>
                <c:ptCount val="5"/>
                <c:pt idx="0">
                  <c:v>0.69399999999999995</c:v>
                </c:pt>
                <c:pt idx="1">
                  <c:v>0.28199999999999997</c:v>
                </c:pt>
                <c:pt idx="3">
                  <c:v>2.1999999999999999E-2</c:v>
                </c:pt>
                <c:pt idx="4">
                  <c:v>2E-3</c:v>
                </c:pt>
              </c:numCache>
            </c:numRef>
          </c:val>
        </c:ser>
        <c:ser>
          <c:idx val="3"/>
          <c:order val="3"/>
          <c:tx>
            <c:strRef>
              <c:f>Sheet1!$E$1</c:f>
              <c:strCache>
                <c:ptCount val="1"/>
                <c:pt idx="0">
                  <c:v>2013</c:v>
                </c:pt>
              </c:strCache>
            </c:strRef>
          </c:tx>
          <c:spPr>
            <a:solidFill>
              <a:schemeClr val="tx2">
                <a:lumMod val="20000"/>
                <a:lumOff val="80000"/>
              </a:schemeClr>
            </a:solidFill>
            <a:ln>
              <a:solidFill>
                <a:schemeClr val="tx2">
                  <a:lumMod val="20000"/>
                  <a:lumOff val="80000"/>
                </a:schemeClr>
              </a:solidFill>
            </a:ln>
          </c:spPr>
          <c:invertIfNegative val="0"/>
          <c:cat>
            <c:strRef>
              <c:f>Sheet1!$A$2:$A$6</c:f>
              <c:strCache>
                <c:ptCount val="5"/>
                <c:pt idx="0">
                  <c:v>Excellent</c:v>
                </c:pt>
                <c:pt idx="1">
                  <c:v>Very Good</c:v>
                </c:pt>
                <c:pt idx="2">
                  <c:v>Good</c:v>
                </c:pt>
                <c:pt idx="3">
                  <c:v>Fair</c:v>
                </c:pt>
                <c:pt idx="4">
                  <c:v>Poor</c:v>
                </c:pt>
              </c:strCache>
            </c:strRef>
          </c:cat>
          <c:val>
            <c:numRef>
              <c:f>Sheet1!$E$2:$E$6</c:f>
              <c:numCache>
                <c:formatCode>0.0%</c:formatCode>
                <c:ptCount val="5"/>
                <c:pt idx="0">
                  <c:v>0.70899999999999996</c:v>
                </c:pt>
                <c:pt idx="1">
                  <c:v>0.26200000000000001</c:v>
                </c:pt>
                <c:pt idx="3">
                  <c:v>2.8000000000000001E-2</c:v>
                </c:pt>
                <c:pt idx="4">
                  <c:v>1E-3</c:v>
                </c:pt>
              </c:numCache>
            </c:numRef>
          </c:val>
        </c:ser>
        <c:dLbls>
          <c:showLegendKey val="0"/>
          <c:showVal val="0"/>
          <c:showCatName val="0"/>
          <c:showSerName val="0"/>
          <c:showPercent val="0"/>
          <c:showBubbleSize val="0"/>
        </c:dLbls>
        <c:gapWidth val="150"/>
        <c:axId val="115652480"/>
        <c:axId val="115654016"/>
      </c:barChart>
      <c:catAx>
        <c:axId val="115652480"/>
        <c:scaling>
          <c:orientation val="minMax"/>
        </c:scaling>
        <c:delete val="0"/>
        <c:axPos val="b"/>
        <c:majorTickMark val="out"/>
        <c:minorTickMark val="none"/>
        <c:tickLblPos val="nextTo"/>
        <c:crossAx val="115654016"/>
        <c:crosses val="autoZero"/>
        <c:auto val="1"/>
        <c:lblAlgn val="ctr"/>
        <c:lblOffset val="100"/>
        <c:noMultiLvlLbl val="0"/>
      </c:catAx>
      <c:valAx>
        <c:axId val="115654016"/>
        <c:scaling>
          <c:orientation val="minMax"/>
        </c:scaling>
        <c:delete val="0"/>
        <c:axPos val="l"/>
        <c:majorGridlines/>
        <c:numFmt formatCode="0.0%" sourceLinked="1"/>
        <c:majorTickMark val="out"/>
        <c:minorTickMark val="none"/>
        <c:tickLblPos val="nextTo"/>
        <c:crossAx val="115652480"/>
        <c:crosses val="autoZero"/>
        <c:crossBetween val="between"/>
        <c:majorUnit val="0.1"/>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Cleanliness of Restrooms (2012-2013)</a:t>
            </a:r>
          </a:p>
        </c:rich>
      </c:tx>
      <c:overlay val="0"/>
    </c:title>
    <c:autoTitleDeleted val="0"/>
    <c:plotArea>
      <c:layout/>
      <c:barChart>
        <c:barDir val="col"/>
        <c:grouping val="clustered"/>
        <c:varyColors val="0"/>
        <c:ser>
          <c:idx val="0"/>
          <c:order val="0"/>
          <c:tx>
            <c:strRef>
              <c:f>Sheet1!$B$1</c:f>
              <c:strCache>
                <c:ptCount val="1"/>
                <c:pt idx="0">
                  <c:v>2012</c:v>
                </c:pt>
              </c:strCache>
            </c:strRef>
          </c:tx>
          <c:spPr>
            <a:solidFill>
              <a:schemeClr val="tx2"/>
            </a:solidFill>
            <a:ln>
              <a:solidFill>
                <a:schemeClr val="tx2"/>
              </a:solidFill>
            </a:ln>
          </c:spPr>
          <c:invertIfNegative val="0"/>
          <c:cat>
            <c:strRef>
              <c:f>Sheet1!$A$2:$A$5</c:f>
              <c:strCache>
                <c:ptCount val="4"/>
                <c:pt idx="0">
                  <c:v>Excellent</c:v>
                </c:pt>
                <c:pt idx="1">
                  <c:v>Very Good</c:v>
                </c:pt>
                <c:pt idx="2">
                  <c:v>Fair</c:v>
                </c:pt>
                <c:pt idx="3">
                  <c:v>Poor</c:v>
                </c:pt>
              </c:strCache>
            </c:strRef>
          </c:cat>
          <c:val>
            <c:numRef>
              <c:f>Sheet1!$B$2:$B$5</c:f>
              <c:numCache>
                <c:formatCode>0.0%</c:formatCode>
                <c:ptCount val="4"/>
                <c:pt idx="0">
                  <c:v>0.48</c:v>
                </c:pt>
                <c:pt idx="1">
                  <c:v>0.37</c:v>
                </c:pt>
                <c:pt idx="2">
                  <c:v>0.121</c:v>
                </c:pt>
                <c:pt idx="3">
                  <c:v>0.03</c:v>
                </c:pt>
              </c:numCache>
            </c:numRef>
          </c:val>
        </c:ser>
        <c:ser>
          <c:idx val="1"/>
          <c:order val="1"/>
          <c:tx>
            <c:strRef>
              <c:f>Sheet1!$C$1</c:f>
              <c:strCache>
                <c:ptCount val="1"/>
                <c:pt idx="0">
                  <c:v>2013</c:v>
                </c:pt>
              </c:strCache>
            </c:strRef>
          </c:tx>
          <c:spPr>
            <a:solidFill>
              <a:schemeClr val="tx2">
                <a:lumMod val="20000"/>
                <a:lumOff val="80000"/>
              </a:schemeClr>
            </a:solidFill>
            <a:ln>
              <a:solidFill>
                <a:schemeClr val="tx2">
                  <a:lumMod val="20000"/>
                  <a:lumOff val="80000"/>
                </a:schemeClr>
              </a:solidFill>
            </a:ln>
          </c:spPr>
          <c:invertIfNegative val="0"/>
          <c:cat>
            <c:strRef>
              <c:f>Sheet1!$A$2:$A$5</c:f>
              <c:strCache>
                <c:ptCount val="4"/>
                <c:pt idx="0">
                  <c:v>Excellent</c:v>
                </c:pt>
                <c:pt idx="1">
                  <c:v>Very Good</c:v>
                </c:pt>
                <c:pt idx="2">
                  <c:v>Fair</c:v>
                </c:pt>
                <c:pt idx="3">
                  <c:v>Poor</c:v>
                </c:pt>
              </c:strCache>
            </c:strRef>
          </c:cat>
          <c:val>
            <c:numRef>
              <c:f>Sheet1!$C$2:$C$5</c:f>
              <c:numCache>
                <c:formatCode>0.0%</c:formatCode>
                <c:ptCount val="4"/>
                <c:pt idx="0">
                  <c:v>0.47799999999999998</c:v>
                </c:pt>
                <c:pt idx="1">
                  <c:v>0.38500000000000001</c:v>
                </c:pt>
                <c:pt idx="2">
                  <c:v>0.121</c:v>
                </c:pt>
                <c:pt idx="3">
                  <c:v>1.6E-2</c:v>
                </c:pt>
              </c:numCache>
            </c:numRef>
          </c:val>
        </c:ser>
        <c:dLbls>
          <c:showLegendKey val="0"/>
          <c:showVal val="0"/>
          <c:showCatName val="0"/>
          <c:showSerName val="0"/>
          <c:showPercent val="0"/>
          <c:showBubbleSize val="0"/>
        </c:dLbls>
        <c:gapWidth val="150"/>
        <c:axId val="115913088"/>
        <c:axId val="115914624"/>
      </c:barChart>
      <c:catAx>
        <c:axId val="115913088"/>
        <c:scaling>
          <c:orientation val="minMax"/>
        </c:scaling>
        <c:delete val="0"/>
        <c:axPos val="b"/>
        <c:majorTickMark val="out"/>
        <c:minorTickMark val="none"/>
        <c:tickLblPos val="nextTo"/>
        <c:crossAx val="115914624"/>
        <c:crosses val="autoZero"/>
        <c:auto val="1"/>
        <c:lblAlgn val="ctr"/>
        <c:lblOffset val="100"/>
        <c:noMultiLvlLbl val="0"/>
      </c:catAx>
      <c:valAx>
        <c:axId val="115914624"/>
        <c:scaling>
          <c:orientation val="minMax"/>
        </c:scaling>
        <c:delete val="0"/>
        <c:axPos val="l"/>
        <c:majorGridlines/>
        <c:numFmt formatCode="0.0%" sourceLinked="1"/>
        <c:majorTickMark val="out"/>
        <c:minorTickMark val="none"/>
        <c:tickLblPos val="nextTo"/>
        <c:crossAx val="115913088"/>
        <c:crosses val="autoZero"/>
        <c:crossBetween val="between"/>
        <c:majorUnit val="0.1"/>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Quality of Care*</a:t>
            </a:r>
          </a:p>
        </c:rich>
      </c:tx>
      <c:overlay val="0"/>
    </c:title>
    <c:autoTitleDeleted val="0"/>
    <c:plotArea>
      <c:layout/>
      <c:barChart>
        <c:barDir val="col"/>
        <c:grouping val="clustered"/>
        <c:varyColors val="0"/>
        <c:ser>
          <c:idx val="0"/>
          <c:order val="0"/>
          <c:tx>
            <c:strRef>
              <c:f>Sheet1!$B$1</c:f>
              <c:strCache>
                <c:ptCount val="1"/>
                <c:pt idx="0">
                  <c:v>2009</c:v>
                </c:pt>
              </c:strCache>
            </c:strRef>
          </c:tx>
          <c:invertIfNegative val="0"/>
          <c:cat>
            <c:strRef>
              <c:f>Sheet1!$A$2:$A$6</c:f>
              <c:strCache>
                <c:ptCount val="5"/>
                <c:pt idx="0">
                  <c:v>Excellent</c:v>
                </c:pt>
                <c:pt idx="1">
                  <c:v>Very Good</c:v>
                </c:pt>
                <c:pt idx="2">
                  <c:v>Good</c:v>
                </c:pt>
                <c:pt idx="3">
                  <c:v>Fair</c:v>
                </c:pt>
                <c:pt idx="4">
                  <c:v>Poor</c:v>
                </c:pt>
              </c:strCache>
            </c:strRef>
          </c:cat>
          <c:val>
            <c:numRef>
              <c:f>Sheet1!$B$2:$B$6</c:f>
              <c:numCache>
                <c:formatCode>0.0%</c:formatCode>
                <c:ptCount val="5"/>
                <c:pt idx="0">
                  <c:v>0.79100000000000004</c:v>
                </c:pt>
                <c:pt idx="1">
                  <c:v>0.16900000000000001</c:v>
                </c:pt>
                <c:pt idx="2">
                  <c:v>3.5999999999999997E-2</c:v>
                </c:pt>
                <c:pt idx="3">
                  <c:v>3.0000000000000001E-3</c:v>
                </c:pt>
                <c:pt idx="4">
                  <c:v>2E-3</c:v>
                </c:pt>
              </c:numCache>
            </c:numRef>
          </c:val>
        </c:ser>
        <c:ser>
          <c:idx val="1"/>
          <c:order val="1"/>
          <c:tx>
            <c:strRef>
              <c:f>Sheet1!$C$1</c:f>
              <c:strCache>
                <c:ptCount val="1"/>
                <c:pt idx="0">
                  <c:v>2010</c:v>
                </c:pt>
              </c:strCache>
            </c:strRef>
          </c:tx>
          <c:spPr>
            <a:solidFill>
              <a:schemeClr val="accent6"/>
            </a:solidFill>
            <a:ln>
              <a:solidFill>
                <a:srgbClr val="F79646"/>
              </a:solidFill>
            </a:ln>
          </c:spPr>
          <c:invertIfNegative val="0"/>
          <c:cat>
            <c:strRef>
              <c:f>Sheet1!$A$2:$A$6</c:f>
              <c:strCache>
                <c:ptCount val="5"/>
                <c:pt idx="0">
                  <c:v>Excellent</c:v>
                </c:pt>
                <c:pt idx="1">
                  <c:v>Very Good</c:v>
                </c:pt>
                <c:pt idx="2">
                  <c:v>Good</c:v>
                </c:pt>
                <c:pt idx="3">
                  <c:v>Fair</c:v>
                </c:pt>
                <c:pt idx="4">
                  <c:v>Poor</c:v>
                </c:pt>
              </c:strCache>
            </c:strRef>
          </c:cat>
          <c:val>
            <c:numRef>
              <c:f>Sheet1!$C$2:$C$6</c:f>
              <c:numCache>
                <c:formatCode>0.0%</c:formatCode>
                <c:ptCount val="5"/>
                <c:pt idx="0">
                  <c:v>0.77200000000000002</c:v>
                </c:pt>
                <c:pt idx="1">
                  <c:v>0.192</c:v>
                </c:pt>
                <c:pt idx="2">
                  <c:v>3.1E-2</c:v>
                </c:pt>
                <c:pt idx="3">
                  <c:v>4.0000000000000001E-3</c:v>
                </c:pt>
                <c:pt idx="4">
                  <c:v>1E-3</c:v>
                </c:pt>
              </c:numCache>
            </c:numRef>
          </c:val>
        </c:ser>
        <c:ser>
          <c:idx val="2"/>
          <c:order val="2"/>
          <c:tx>
            <c:strRef>
              <c:f>Sheet1!$D$1</c:f>
              <c:strCache>
                <c:ptCount val="1"/>
                <c:pt idx="0">
                  <c:v>2011</c:v>
                </c:pt>
              </c:strCache>
            </c:strRef>
          </c:tx>
          <c:invertIfNegative val="0"/>
          <c:cat>
            <c:strRef>
              <c:f>Sheet1!$A$2:$A$6</c:f>
              <c:strCache>
                <c:ptCount val="5"/>
                <c:pt idx="0">
                  <c:v>Excellent</c:v>
                </c:pt>
                <c:pt idx="1">
                  <c:v>Very Good</c:v>
                </c:pt>
                <c:pt idx="2">
                  <c:v>Good</c:v>
                </c:pt>
                <c:pt idx="3">
                  <c:v>Fair</c:v>
                </c:pt>
                <c:pt idx="4">
                  <c:v>Poor</c:v>
                </c:pt>
              </c:strCache>
            </c:strRef>
          </c:cat>
          <c:val>
            <c:numRef>
              <c:f>Sheet1!$D$2:$D$6</c:f>
              <c:numCache>
                <c:formatCode>0.0%</c:formatCode>
                <c:ptCount val="5"/>
                <c:pt idx="0">
                  <c:v>0.754</c:v>
                </c:pt>
                <c:pt idx="1">
                  <c:v>0.192</c:v>
                </c:pt>
                <c:pt idx="2">
                  <c:v>4.3999999999999997E-2</c:v>
                </c:pt>
                <c:pt idx="3">
                  <c:v>5.0000000000000001E-3</c:v>
                </c:pt>
                <c:pt idx="4">
                  <c:v>5.0000000000000001E-3</c:v>
                </c:pt>
              </c:numCache>
            </c:numRef>
          </c:val>
        </c:ser>
        <c:ser>
          <c:idx val="3"/>
          <c:order val="3"/>
          <c:tx>
            <c:strRef>
              <c:f>Sheet1!$E$1</c:f>
              <c:strCache>
                <c:ptCount val="1"/>
                <c:pt idx="0">
                  <c:v>2012</c:v>
                </c:pt>
              </c:strCache>
            </c:strRef>
          </c:tx>
          <c:spPr>
            <a:solidFill>
              <a:schemeClr val="tx2"/>
            </a:solidFill>
            <a:ln>
              <a:solidFill>
                <a:schemeClr val="tx2"/>
              </a:solidFill>
            </a:ln>
          </c:spPr>
          <c:invertIfNegative val="0"/>
          <c:cat>
            <c:strRef>
              <c:f>Sheet1!$A$2:$A$6</c:f>
              <c:strCache>
                <c:ptCount val="5"/>
                <c:pt idx="0">
                  <c:v>Excellent</c:v>
                </c:pt>
                <c:pt idx="1">
                  <c:v>Very Good</c:v>
                </c:pt>
                <c:pt idx="2">
                  <c:v>Good</c:v>
                </c:pt>
                <c:pt idx="3">
                  <c:v>Fair</c:v>
                </c:pt>
                <c:pt idx="4">
                  <c:v>Poor</c:v>
                </c:pt>
              </c:strCache>
            </c:strRef>
          </c:cat>
          <c:val>
            <c:numRef>
              <c:f>Sheet1!$E$2:$E$6</c:f>
              <c:numCache>
                <c:formatCode>0.0%</c:formatCode>
                <c:ptCount val="5"/>
                <c:pt idx="0">
                  <c:v>0.76</c:v>
                </c:pt>
                <c:pt idx="1">
                  <c:v>0.22900000000000001</c:v>
                </c:pt>
                <c:pt idx="3">
                  <c:v>8.9999999999999993E-3</c:v>
                </c:pt>
                <c:pt idx="4">
                  <c:v>2E-3</c:v>
                </c:pt>
              </c:numCache>
            </c:numRef>
          </c:val>
        </c:ser>
        <c:ser>
          <c:idx val="4"/>
          <c:order val="4"/>
          <c:tx>
            <c:strRef>
              <c:f>Sheet1!$F$1</c:f>
              <c:strCache>
                <c:ptCount val="1"/>
                <c:pt idx="0">
                  <c:v>2013</c:v>
                </c:pt>
              </c:strCache>
            </c:strRef>
          </c:tx>
          <c:spPr>
            <a:solidFill>
              <a:schemeClr val="tx2">
                <a:lumMod val="20000"/>
                <a:lumOff val="80000"/>
              </a:schemeClr>
            </a:solidFill>
            <a:ln>
              <a:solidFill>
                <a:schemeClr val="tx2">
                  <a:lumMod val="20000"/>
                  <a:lumOff val="80000"/>
                </a:schemeClr>
              </a:solidFill>
            </a:ln>
          </c:spPr>
          <c:invertIfNegative val="0"/>
          <c:cat>
            <c:strRef>
              <c:f>Sheet1!$A$2:$A$6</c:f>
              <c:strCache>
                <c:ptCount val="5"/>
                <c:pt idx="0">
                  <c:v>Excellent</c:v>
                </c:pt>
                <c:pt idx="1">
                  <c:v>Very Good</c:v>
                </c:pt>
                <c:pt idx="2">
                  <c:v>Good</c:v>
                </c:pt>
                <c:pt idx="3">
                  <c:v>Fair</c:v>
                </c:pt>
                <c:pt idx="4">
                  <c:v>Poor</c:v>
                </c:pt>
              </c:strCache>
            </c:strRef>
          </c:cat>
          <c:val>
            <c:numRef>
              <c:f>Sheet1!$F$2:$F$6</c:f>
              <c:numCache>
                <c:formatCode>0.0%</c:formatCode>
                <c:ptCount val="5"/>
                <c:pt idx="0">
                  <c:v>0.76500000000000001</c:v>
                </c:pt>
                <c:pt idx="1">
                  <c:v>0.216</c:v>
                </c:pt>
                <c:pt idx="3">
                  <c:v>1.7000000000000001E-2</c:v>
                </c:pt>
                <c:pt idx="4">
                  <c:v>2E-3</c:v>
                </c:pt>
              </c:numCache>
            </c:numRef>
          </c:val>
        </c:ser>
        <c:dLbls>
          <c:showLegendKey val="0"/>
          <c:showVal val="0"/>
          <c:showCatName val="0"/>
          <c:showSerName val="0"/>
          <c:showPercent val="0"/>
          <c:showBubbleSize val="0"/>
        </c:dLbls>
        <c:gapWidth val="150"/>
        <c:axId val="115934336"/>
        <c:axId val="115935872"/>
      </c:barChart>
      <c:catAx>
        <c:axId val="115934336"/>
        <c:scaling>
          <c:orientation val="minMax"/>
        </c:scaling>
        <c:delete val="0"/>
        <c:axPos val="b"/>
        <c:numFmt formatCode="General" sourceLinked="1"/>
        <c:majorTickMark val="out"/>
        <c:minorTickMark val="none"/>
        <c:tickLblPos val="nextTo"/>
        <c:crossAx val="115935872"/>
        <c:crosses val="autoZero"/>
        <c:auto val="1"/>
        <c:lblAlgn val="ctr"/>
        <c:lblOffset val="100"/>
        <c:noMultiLvlLbl val="0"/>
      </c:catAx>
      <c:valAx>
        <c:axId val="115935872"/>
        <c:scaling>
          <c:orientation val="minMax"/>
        </c:scaling>
        <c:delete val="0"/>
        <c:axPos val="l"/>
        <c:majorGridlines/>
        <c:numFmt formatCode="0.0%" sourceLinked="1"/>
        <c:majorTickMark val="out"/>
        <c:minorTickMark val="none"/>
        <c:tickLblPos val="nextTo"/>
        <c:crossAx val="115934336"/>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Treatment by Dental Care Provider (2010-2013)</a:t>
            </a:r>
          </a:p>
        </c:rich>
      </c:tx>
      <c:overlay val="0"/>
    </c:title>
    <c:autoTitleDeleted val="0"/>
    <c:plotArea>
      <c:layout/>
      <c:barChart>
        <c:barDir val="col"/>
        <c:grouping val="clustered"/>
        <c:varyColors val="0"/>
        <c:ser>
          <c:idx val="0"/>
          <c:order val="0"/>
          <c:tx>
            <c:strRef>
              <c:f>Sheet1!$B$1</c:f>
              <c:strCache>
                <c:ptCount val="1"/>
                <c:pt idx="0">
                  <c:v>2010</c:v>
                </c:pt>
              </c:strCache>
            </c:strRef>
          </c:tx>
          <c:spPr>
            <a:solidFill>
              <a:schemeClr val="accent6"/>
            </a:solidFill>
            <a:ln>
              <a:solidFill>
                <a:schemeClr val="accent6"/>
              </a:solidFill>
            </a:ln>
          </c:spPr>
          <c:invertIfNegative val="0"/>
          <c:cat>
            <c:strRef>
              <c:f>Sheet1!$A$2:$A$6</c:f>
              <c:strCache>
                <c:ptCount val="5"/>
                <c:pt idx="0">
                  <c:v>5 
always considerate</c:v>
                </c:pt>
                <c:pt idx="1">
                  <c:v>4</c:v>
                </c:pt>
                <c:pt idx="2">
                  <c:v>3
neutral</c:v>
                </c:pt>
                <c:pt idx="3">
                  <c:v>2</c:v>
                </c:pt>
                <c:pt idx="4">
                  <c:v>1 
usually rude</c:v>
                </c:pt>
              </c:strCache>
            </c:strRef>
          </c:cat>
          <c:val>
            <c:numRef>
              <c:f>Sheet1!$B$2:$B$6</c:f>
              <c:numCache>
                <c:formatCode>0.0%</c:formatCode>
                <c:ptCount val="5"/>
                <c:pt idx="0">
                  <c:v>0.89300000000000002</c:v>
                </c:pt>
                <c:pt idx="1">
                  <c:v>9.5000000000000001E-2</c:v>
                </c:pt>
                <c:pt idx="2">
                  <c:v>0.01</c:v>
                </c:pt>
                <c:pt idx="3">
                  <c:v>2E-3</c:v>
                </c:pt>
                <c:pt idx="4">
                  <c:v>0</c:v>
                </c:pt>
              </c:numCache>
            </c:numRef>
          </c:val>
        </c:ser>
        <c:ser>
          <c:idx val="1"/>
          <c:order val="1"/>
          <c:tx>
            <c:strRef>
              <c:f>Sheet1!$C$1</c:f>
              <c:strCache>
                <c:ptCount val="1"/>
                <c:pt idx="0">
                  <c:v>2011</c:v>
                </c:pt>
              </c:strCache>
            </c:strRef>
          </c:tx>
          <c:spPr>
            <a:solidFill>
              <a:schemeClr val="accent3"/>
            </a:solidFill>
            <a:ln>
              <a:solidFill>
                <a:schemeClr val="accent3"/>
              </a:solidFill>
            </a:ln>
          </c:spPr>
          <c:invertIfNegative val="0"/>
          <c:cat>
            <c:strRef>
              <c:f>Sheet1!$A$2:$A$6</c:f>
              <c:strCache>
                <c:ptCount val="5"/>
                <c:pt idx="0">
                  <c:v>5 
always considerate</c:v>
                </c:pt>
                <c:pt idx="1">
                  <c:v>4</c:v>
                </c:pt>
                <c:pt idx="2">
                  <c:v>3
neutral</c:v>
                </c:pt>
                <c:pt idx="3">
                  <c:v>2</c:v>
                </c:pt>
                <c:pt idx="4">
                  <c:v>1 
usually rude</c:v>
                </c:pt>
              </c:strCache>
            </c:strRef>
          </c:cat>
          <c:val>
            <c:numRef>
              <c:f>Sheet1!$C$2:$C$6</c:f>
              <c:numCache>
                <c:formatCode>0.0%</c:formatCode>
                <c:ptCount val="5"/>
                <c:pt idx="0">
                  <c:v>0.91300000000000003</c:v>
                </c:pt>
                <c:pt idx="1">
                  <c:v>6.6000000000000003E-2</c:v>
                </c:pt>
                <c:pt idx="2">
                  <c:v>1.6E-2</c:v>
                </c:pt>
                <c:pt idx="3">
                  <c:v>4.0000000000000001E-3</c:v>
                </c:pt>
                <c:pt idx="4">
                  <c:v>1E-3</c:v>
                </c:pt>
              </c:numCache>
            </c:numRef>
          </c:val>
        </c:ser>
        <c:ser>
          <c:idx val="2"/>
          <c:order val="2"/>
          <c:tx>
            <c:strRef>
              <c:f>Sheet1!$D$1</c:f>
              <c:strCache>
                <c:ptCount val="1"/>
                <c:pt idx="0">
                  <c:v>2012</c:v>
                </c:pt>
              </c:strCache>
            </c:strRef>
          </c:tx>
          <c:spPr>
            <a:solidFill>
              <a:schemeClr val="tx2"/>
            </a:solidFill>
            <a:ln>
              <a:solidFill>
                <a:schemeClr val="tx2"/>
              </a:solidFill>
            </a:ln>
          </c:spPr>
          <c:invertIfNegative val="0"/>
          <c:cat>
            <c:strRef>
              <c:f>Sheet1!$A$2:$A$6</c:f>
              <c:strCache>
                <c:ptCount val="5"/>
                <c:pt idx="0">
                  <c:v>5 
always considerate</c:v>
                </c:pt>
                <c:pt idx="1">
                  <c:v>4</c:v>
                </c:pt>
                <c:pt idx="2">
                  <c:v>3
neutral</c:v>
                </c:pt>
                <c:pt idx="3">
                  <c:v>2</c:v>
                </c:pt>
                <c:pt idx="4">
                  <c:v>1 
usually rude</c:v>
                </c:pt>
              </c:strCache>
            </c:strRef>
          </c:cat>
          <c:val>
            <c:numRef>
              <c:f>Sheet1!$D$2:$D$6</c:f>
              <c:numCache>
                <c:formatCode>0.00%</c:formatCode>
                <c:ptCount val="5"/>
                <c:pt idx="0">
                  <c:v>0.92800000000000005</c:v>
                </c:pt>
                <c:pt idx="1">
                  <c:v>6.6000000000000003E-2</c:v>
                </c:pt>
                <c:pt idx="2">
                  <c:v>4.0000000000000001E-3</c:v>
                </c:pt>
                <c:pt idx="3">
                  <c:v>2E-3</c:v>
                </c:pt>
                <c:pt idx="4">
                  <c:v>0</c:v>
                </c:pt>
              </c:numCache>
            </c:numRef>
          </c:val>
        </c:ser>
        <c:ser>
          <c:idx val="3"/>
          <c:order val="3"/>
          <c:tx>
            <c:strRef>
              <c:f>Sheet1!$E$1</c:f>
              <c:strCache>
                <c:ptCount val="1"/>
                <c:pt idx="0">
                  <c:v>2013</c:v>
                </c:pt>
              </c:strCache>
            </c:strRef>
          </c:tx>
          <c:spPr>
            <a:solidFill>
              <a:schemeClr val="tx2">
                <a:lumMod val="20000"/>
                <a:lumOff val="80000"/>
              </a:schemeClr>
            </a:solidFill>
            <a:ln>
              <a:solidFill>
                <a:schemeClr val="tx2">
                  <a:lumMod val="20000"/>
                  <a:lumOff val="80000"/>
                </a:schemeClr>
              </a:solidFill>
            </a:ln>
          </c:spPr>
          <c:invertIfNegative val="0"/>
          <c:cat>
            <c:strRef>
              <c:f>Sheet1!$A$2:$A$6</c:f>
              <c:strCache>
                <c:ptCount val="5"/>
                <c:pt idx="0">
                  <c:v>5 
always considerate</c:v>
                </c:pt>
                <c:pt idx="1">
                  <c:v>4</c:v>
                </c:pt>
                <c:pt idx="2">
                  <c:v>3
neutral</c:v>
                </c:pt>
                <c:pt idx="3">
                  <c:v>2</c:v>
                </c:pt>
                <c:pt idx="4">
                  <c:v>1 
usually rude</c:v>
                </c:pt>
              </c:strCache>
            </c:strRef>
          </c:cat>
          <c:val>
            <c:numRef>
              <c:f>Sheet1!$E$2:$E$6</c:f>
              <c:numCache>
                <c:formatCode>0.00%</c:formatCode>
                <c:ptCount val="5"/>
                <c:pt idx="0">
                  <c:v>0.92900000000000005</c:v>
                </c:pt>
                <c:pt idx="1">
                  <c:v>5.2999999999999999E-2</c:v>
                </c:pt>
                <c:pt idx="2">
                  <c:v>1.7000000000000001E-2</c:v>
                </c:pt>
                <c:pt idx="3">
                  <c:v>1E-3</c:v>
                </c:pt>
                <c:pt idx="4">
                  <c:v>1E-3</c:v>
                </c:pt>
              </c:numCache>
            </c:numRef>
          </c:val>
        </c:ser>
        <c:dLbls>
          <c:showLegendKey val="0"/>
          <c:showVal val="0"/>
          <c:showCatName val="0"/>
          <c:showSerName val="0"/>
          <c:showPercent val="0"/>
          <c:showBubbleSize val="0"/>
        </c:dLbls>
        <c:gapWidth val="150"/>
        <c:axId val="115999872"/>
        <c:axId val="116001408"/>
      </c:barChart>
      <c:catAx>
        <c:axId val="115999872"/>
        <c:scaling>
          <c:orientation val="minMax"/>
        </c:scaling>
        <c:delete val="0"/>
        <c:axPos val="b"/>
        <c:majorTickMark val="out"/>
        <c:minorTickMark val="none"/>
        <c:tickLblPos val="nextTo"/>
        <c:crossAx val="116001408"/>
        <c:crosses val="autoZero"/>
        <c:auto val="1"/>
        <c:lblAlgn val="ctr"/>
        <c:lblOffset val="100"/>
        <c:noMultiLvlLbl val="0"/>
      </c:catAx>
      <c:valAx>
        <c:axId val="116001408"/>
        <c:scaling>
          <c:orientation val="minMax"/>
        </c:scaling>
        <c:delete val="0"/>
        <c:axPos val="l"/>
        <c:majorGridlines/>
        <c:numFmt formatCode="0.0%" sourceLinked="1"/>
        <c:majorTickMark val="out"/>
        <c:minorTickMark val="none"/>
        <c:tickLblPos val="nextTo"/>
        <c:crossAx val="115999872"/>
        <c:crosses val="autoZero"/>
        <c:crossBetween val="between"/>
        <c:majorUnit val="0.2"/>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Treatment when Calling College</a:t>
            </a:r>
            <a:r>
              <a:rPr lang="en-US" sz="1600" baseline="0"/>
              <a:t> of Dentistry</a:t>
            </a:r>
            <a:r>
              <a:rPr lang="en-US" sz="1600"/>
              <a:t> </a:t>
            </a:r>
          </a:p>
          <a:p>
            <a:pPr>
              <a:defRPr/>
            </a:pPr>
            <a:r>
              <a:rPr lang="en-US" sz="1600"/>
              <a:t>(2010-2013)</a:t>
            </a:r>
          </a:p>
        </c:rich>
      </c:tx>
      <c:overlay val="0"/>
    </c:title>
    <c:autoTitleDeleted val="0"/>
    <c:plotArea>
      <c:layout/>
      <c:barChart>
        <c:barDir val="col"/>
        <c:grouping val="clustered"/>
        <c:varyColors val="0"/>
        <c:ser>
          <c:idx val="0"/>
          <c:order val="0"/>
          <c:tx>
            <c:strRef>
              <c:f>Sheet1!$B$1</c:f>
              <c:strCache>
                <c:ptCount val="1"/>
                <c:pt idx="0">
                  <c:v>2010</c:v>
                </c:pt>
              </c:strCache>
            </c:strRef>
          </c:tx>
          <c:spPr>
            <a:solidFill>
              <a:schemeClr val="accent6"/>
            </a:solidFill>
            <a:ln>
              <a:solidFill>
                <a:schemeClr val="accent6"/>
              </a:solidFill>
            </a:ln>
          </c:spPr>
          <c:invertIfNegative val="0"/>
          <c:cat>
            <c:strRef>
              <c:f>Sheet1!$A$2:$A$6</c:f>
              <c:strCache>
                <c:ptCount val="5"/>
                <c:pt idx="0">
                  <c:v>5 
always considerate</c:v>
                </c:pt>
                <c:pt idx="1">
                  <c:v>4</c:v>
                </c:pt>
                <c:pt idx="2">
                  <c:v>3
neutral</c:v>
                </c:pt>
                <c:pt idx="3">
                  <c:v>2</c:v>
                </c:pt>
                <c:pt idx="4">
                  <c:v>1 
usually rude</c:v>
                </c:pt>
              </c:strCache>
            </c:strRef>
          </c:cat>
          <c:val>
            <c:numRef>
              <c:f>Sheet1!$B$2:$B$6</c:f>
              <c:numCache>
                <c:formatCode>0.0%</c:formatCode>
                <c:ptCount val="5"/>
                <c:pt idx="0">
                  <c:v>0.81699999999999995</c:v>
                </c:pt>
                <c:pt idx="1">
                  <c:v>0.14299999999999999</c:v>
                </c:pt>
                <c:pt idx="2">
                  <c:v>3.6999999999999998E-2</c:v>
                </c:pt>
                <c:pt idx="3">
                  <c:v>2E-3</c:v>
                </c:pt>
                <c:pt idx="4">
                  <c:v>1E-3</c:v>
                </c:pt>
              </c:numCache>
            </c:numRef>
          </c:val>
        </c:ser>
        <c:ser>
          <c:idx val="1"/>
          <c:order val="1"/>
          <c:tx>
            <c:strRef>
              <c:f>Sheet1!$C$1</c:f>
              <c:strCache>
                <c:ptCount val="1"/>
                <c:pt idx="0">
                  <c:v>2011</c:v>
                </c:pt>
              </c:strCache>
            </c:strRef>
          </c:tx>
          <c:spPr>
            <a:solidFill>
              <a:schemeClr val="accent3"/>
            </a:solidFill>
            <a:ln>
              <a:solidFill>
                <a:schemeClr val="accent3"/>
              </a:solidFill>
            </a:ln>
          </c:spPr>
          <c:invertIfNegative val="0"/>
          <c:cat>
            <c:strRef>
              <c:f>Sheet1!$A$2:$A$6</c:f>
              <c:strCache>
                <c:ptCount val="5"/>
                <c:pt idx="0">
                  <c:v>5 
always considerate</c:v>
                </c:pt>
                <c:pt idx="1">
                  <c:v>4</c:v>
                </c:pt>
                <c:pt idx="2">
                  <c:v>3
neutral</c:v>
                </c:pt>
                <c:pt idx="3">
                  <c:v>2</c:v>
                </c:pt>
                <c:pt idx="4">
                  <c:v>1 
usually rude</c:v>
                </c:pt>
              </c:strCache>
            </c:strRef>
          </c:cat>
          <c:val>
            <c:numRef>
              <c:f>Sheet1!$C$2:$C$6</c:f>
              <c:numCache>
                <c:formatCode>0.0%</c:formatCode>
                <c:ptCount val="5"/>
                <c:pt idx="0">
                  <c:v>0.82799999999999996</c:v>
                </c:pt>
                <c:pt idx="1">
                  <c:v>0.13</c:v>
                </c:pt>
                <c:pt idx="2">
                  <c:v>3.4000000000000002E-2</c:v>
                </c:pt>
                <c:pt idx="3">
                  <c:v>7.0000000000000001E-3</c:v>
                </c:pt>
                <c:pt idx="4">
                  <c:v>3.0000000000000001E-3</c:v>
                </c:pt>
              </c:numCache>
            </c:numRef>
          </c:val>
        </c:ser>
        <c:ser>
          <c:idx val="2"/>
          <c:order val="2"/>
          <c:tx>
            <c:strRef>
              <c:f>Sheet1!$D$1</c:f>
              <c:strCache>
                <c:ptCount val="1"/>
                <c:pt idx="0">
                  <c:v>2012</c:v>
                </c:pt>
              </c:strCache>
            </c:strRef>
          </c:tx>
          <c:spPr>
            <a:solidFill>
              <a:schemeClr val="tx2"/>
            </a:solidFill>
            <a:ln>
              <a:solidFill>
                <a:schemeClr val="tx2"/>
              </a:solidFill>
            </a:ln>
          </c:spPr>
          <c:invertIfNegative val="0"/>
          <c:cat>
            <c:strRef>
              <c:f>Sheet1!$A$2:$A$6</c:f>
              <c:strCache>
                <c:ptCount val="5"/>
                <c:pt idx="0">
                  <c:v>5 
always considerate</c:v>
                </c:pt>
                <c:pt idx="1">
                  <c:v>4</c:v>
                </c:pt>
                <c:pt idx="2">
                  <c:v>3
neutral</c:v>
                </c:pt>
                <c:pt idx="3">
                  <c:v>2</c:v>
                </c:pt>
                <c:pt idx="4">
                  <c:v>1 
usually rude</c:v>
                </c:pt>
              </c:strCache>
            </c:strRef>
          </c:cat>
          <c:val>
            <c:numRef>
              <c:f>Sheet1!$D$2:$D$6</c:f>
              <c:numCache>
                <c:formatCode>0.00%</c:formatCode>
                <c:ptCount val="5"/>
                <c:pt idx="0">
                  <c:v>0.84499999999999997</c:v>
                </c:pt>
                <c:pt idx="1">
                  <c:v>0.124</c:v>
                </c:pt>
                <c:pt idx="2">
                  <c:v>2.7E-2</c:v>
                </c:pt>
                <c:pt idx="3">
                  <c:v>4.0000000000000001E-3</c:v>
                </c:pt>
                <c:pt idx="4">
                  <c:v>1E-3</c:v>
                </c:pt>
              </c:numCache>
            </c:numRef>
          </c:val>
        </c:ser>
        <c:ser>
          <c:idx val="3"/>
          <c:order val="3"/>
          <c:tx>
            <c:strRef>
              <c:f>Sheet1!$E$1</c:f>
              <c:strCache>
                <c:ptCount val="1"/>
                <c:pt idx="0">
                  <c:v>2013</c:v>
                </c:pt>
              </c:strCache>
            </c:strRef>
          </c:tx>
          <c:spPr>
            <a:solidFill>
              <a:schemeClr val="tx2">
                <a:lumMod val="20000"/>
                <a:lumOff val="80000"/>
              </a:schemeClr>
            </a:solidFill>
            <a:ln>
              <a:solidFill>
                <a:schemeClr val="tx2">
                  <a:lumMod val="20000"/>
                  <a:lumOff val="80000"/>
                </a:schemeClr>
              </a:solidFill>
            </a:ln>
          </c:spPr>
          <c:invertIfNegative val="0"/>
          <c:cat>
            <c:strRef>
              <c:f>Sheet1!$A$2:$A$6</c:f>
              <c:strCache>
                <c:ptCount val="5"/>
                <c:pt idx="0">
                  <c:v>5 
always considerate</c:v>
                </c:pt>
                <c:pt idx="1">
                  <c:v>4</c:v>
                </c:pt>
                <c:pt idx="2">
                  <c:v>3
neutral</c:v>
                </c:pt>
                <c:pt idx="3">
                  <c:v>2</c:v>
                </c:pt>
                <c:pt idx="4">
                  <c:v>1 
usually rude</c:v>
                </c:pt>
              </c:strCache>
            </c:strRef>
          </c:cat>
          <c:val>
            <c:numRef>
              <c:f>Sheet1!$E$2:$E$6</c:f>
              <c:numCache>
                <c:formatCode>0.00%</c:formatCode>
                <c:ptCount val="5"/>
                <c:pt idx="0">
                  <c:v>0.84499999999999997</c:v>
                </c:pt>
                <c:pt idx="1">
                  <c:v>0.11</c:v>
                </c:pt>
                <c:pt idx="2">
                  <c:v>0.04</c:v>
                </c:pt>
                <c:pt idx="3">
                  <c:v>4.0000000000000001E-3</c:v>
                </c:pt>
                <c:pt idx="4">
                  <c:v>1E-3</c:v>
                </c:pt>
              </c:numCache>
            </c:numRef>
          </c:val>
        </c:ser>
        <c:dLbls>
          <c:showLegendKey val="0"/>
          <c:showVal val="0"/>
          <c:showCatName val="0"/>
          <c:showSerName val="0"/>
          <c:showPercent val="0"/>
          <c:showBubbleSize val="0"/>
        </c:dLbls>
        <c:gapWidth val="150"/>
        <c:axId val="116061312"/>
        <c:axId val="116062848"/>
      </c:barChart>
      <c:catAx>
        <c:axId val="116061312"/>
        <c:scaling>
          <c:orientation val="minMax"/>
        </c:scaling>
        <c:delete val="0"/>
        <c:axPos val="b"/>
        <c:majorTickMark val="out"/>
        <c:minorTickMark val="none"/>
        <c:tickLblPos val="nextTo"/>
        <c:crossAx val="116062848"/>
        <c:crosses val="autoZero"/>
        <c:auto val="1"/>
        <c:lblAlgn val="ctr"/>
        <c:lblOffset val="100"/>
        <c:noMultiLvlLbl val="0"/>
      </c:catAx>
      <c:valAx>
        <c:axId val="116062848"/>
        <c:scaling>
          <c:orientation val="minMax"/>
        </c:scaling>
        <c:delete val="0"/>
        <c:axPos val="l"/>
        <c:majorGridlines/>
        <c:numFmt formatCode="0.0%" sourceLinked="1"/>
        <c:majorTickMark val="out"/>
        <c:minorTickMark val="none"/>
        <c:tickLblPos val="nextTo"/>
        <c:crossAx val="116061312"/>
        <c:crosses val="autoZero"/>
        <c:crossBetween val="between"/>
        <c:majorUnit val="0.2"/>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Treatment by Staff (2010-2013)</a:t>
            </a:r>
          </a:p>
        </c:rich>
      </c:tx>
      <c:overlay val="0"/>
    </c:title>
    <c:autoTitleDeleted val="0"/>
    <c:plotArea>
      <c:layout/>
      <c:barChart>
        <c:barDir val="col"/>
        <c:grouping val="clustered"/>
        <c:varyColors val="0"/>
        <c:ser>
          <c:idx val="0"/>
          <c:order val="0"/>
          <c:tx>
            <c:strRef>
              <c:f>Sheet1!$B$1</c:f>
              <c:strCache>
                <c:ptCount val="1"/>
                <c:pt idx="0">
                  <c:v>2010</c:v>
                </c:pt>
              </c:strCache>
            </c:strRef>
          </c:tx>
          <c:spPr>
            <a:solidFill>
              <a:schemeClr val="accent6"/>
            </a:solidFill>
            <a:ln>
              <a:solidFill>
                <a:schemeClr val="accent6"/>
              </a:solidFill>
            </a:ln>
          </c:spPr>
          <c:invertIfNegative val="0"/>
          <c:cat>
            <c:strRef>
              <c:f>Sheet1!$A$2:$A$6</c:f>
              <c:strCache>
                <c:ptCount val="5"/>
                <c:pt idx="0">
                  <c:v>5 
always considerate</c:v>
                </c:pt>
                <c:pt idx="1">
                  <c:v>4</c:v>
                </c:pt>
                <c:pt idx="2">
                  <c:v>3
neutral</c:v>
                </c:pt>
                <c:pt idx="3">
                  <c:v>2</c:v>
                </c:pt>
                <c:pt idx="4">
                  <c:v>1 
usually rude</c:v>
                </c:pt>
              </c:strCache>
            </c:strRef>
          </c:cat>
          <c:val>
            <c:numRef>
              <c:f>Sheet1!$B$2:$B$6</c:f>
              <c:numCache>
                <c:formatCode>0.0%</c:formatCode>
                <c:ptCount val="5"/>
                <c:pt idx="0">
                  <c:v>0.879</c:v>
                </c:pt>
                <c:pt idx="1">
                  <c:v>0.106</c:v>
                </c:pt>
                <c:pt idx="2">
                  <c:v>0.01</c:v>
                </c:pt>
                <c:pt idx="3">
                  <c:v>5.0000000000000001E-3</c:v>
                </c:pt>
                <c:pt idx="4">
                  <c:v>0</c:v>
                </c:pt>
              </c:numCache>
            </c:numRef>
          </c:val>
        </c:ser>
        <c:ser>
          <c:idx val="1"/>
          <c:order val="1"/>
          <c:tx>
            <c:strRef>
              <c:f>Sheet1!$C$1</c:f>
              <c:strCache>
                <c:ptCount val="1"/>
                <c:pt idx="0">
                  <c:v>2011</c:v>
                </c:pt>
              </c:strCache>
            </c:strRef>
          </c:tx>
          <c:spPr>
            <a:solidFill>
              <a:schemeClr val="accent3"/>
            </a:solidFill>
            <a:ln>
              <a:solidFill>
                <a:schemeClr val="accent3"/>
              </a:solidFill>
            </a:ln>
          </c:spPr>
          <c:invertIfNegative val="0"/>
          <c:cat>
            <c:strRef>
              <c:f>Sheet1!$A$2:$A$6</c:f>
              <c:strCache>
                <c:ptCount val="5"/>
                <c:pt idx="0">
                  <c:v>5 
always considerate</c:v>
                </c:pt>
                <c:pt idx="1">
                  <c:v>4</c:v>
                </c:pt>
                <c:pt idx="2">
                  <c:v>3
neutral</c:v>
                </c:pt>
                <c:pt idx="3">
                  <c:v>2</c:v>
                </c:pt>
                <c:pt idx="4">
                  <c:v>1 
usually rude</c:v>
                </c:pt>
              </c:strCache>
            </c:strRef>
          </c:cat>
          <c:val>
            <c:numRef>
              <c:f>Sheet1!$C$2:$C$6</c:f>
              <c:numCache>
                <c:formatCode>0.0%</c:formatCode>
                <c:ptCount val="5"/>
                <c:pt idx="0">
                  <c:v>0.90600000000000003</c:v>
                </c:pt>
                <c:pt idx="1">
                  <c:v>7.9000000000000001E-2</c:v>
                </c:pt>
                <c:pt idx="2">
                  <c:v>1.2999999999999999E-2</c:v>
                </c:pt>
                <c:pt idx="3">
                  <c:v>1E-3</c:v>
                </c:pt>
                <c:pt idx="4">
                  <c:v>1E-3</c:v>
                </c:pt>
              </c:numCache>
            </c:numRef>
          </c:val>
        </c:ser>
        <c:ser>
          <c:idx val="2"/>
          <c:order val="2"/>
          <c:tx>
            <c:strRef>
              <c:f>Sheet1!$D$1</c:f>
              <c:strCache>
                <c:ptCount val="1"/>
                <c:pt idx="0">
                  <c:v>2012</c:v>
                </c:pt>
              </c:strCache>
            </c:strRef>
          </c:tx>
          <c:spPr>
            <a:solidFill>
              <a:schemeClr val="tx2"/>
            </a:solidFill>
            <a:ln>
              <a:solidFill>
                <a:schemeClr val="tx2"/>
              </a:solidFill>
            </a:ln>
          </c:spPr>
          <c:invertIfNegative val="0"/>
          <c:cat>
            <c:strRef>
              <c:f>Sheet1!$A$2:$A$6</c:f>
              <c:strCache>
                <c:ptCount val="5"/>
                <c:pt idx="0">
                  <c:v>5 
always considerate</c:v>
                </c:pt>
                <c:pt idx="1">
                  <c:v>4</c:v>
                </c:pt>
                <c:pt idx="2">
                  <c:v>3
neutral</c:v>
                </c:pt>
                <c:pt idx="3">
                  <c:v>2</c:v>
                </c:pt>
                <c:pt idx="4">
                  <c:v>1 
usually rude</c:v>
                </c:pt>
              </c:strCache>
            </c:strRef>
          </c:cat>
          <c:val>
            <c:numRef>
              <c:f>Sheet1!$D$2:$D$6</c:f>
              <c:numCache>
                <c:formatCode>0.00%</c:formatCode>
                <c:ptCount val="5"/>
                <c:pt idx="0">
                  <c:v>0.92100000000000004</c:v>
                </c:pt>
                <c:pt idx="1">
                  <c:v>7.2999999999999995E-2</c:v>
                </c:pt>
                <c:pt idx="2">
                  <c:v>4.0000000000000001E-3</c:v>
                </c:pt>
                <c:pt idx="3">
                  <c:v>2E-3</c:v>
                </c:pt>
                <c:pt idx="4">
                  <c:v>0</c:v>
                </c:pt>
              </c:numCache>
            </c:numRef>
          </c:val>
        </c:ser>
        <c:ser>
          <c:idx val="3"/>
          <c:order val="3"/>
          <c:tx>
            <c:strRef>
              <c:f>Sheet1!$E$1</c:f>
              <c:strCache>
                <c:ptCount val="1"/>
                <c:pt idx="0">
                  <c:v>2013</c:v>
                </c:pt>
              </c:strCache>
            </c:strRef>
          </c:tx>
          <c:spPr>
            <a:solidFill>
              <a:schemeClr val="tx2">
                <a:lumMod val="20000"/>
                <a:lumOff val="80000"/>
              </a:schemeClr>
            </a:solidFill>
            <a:ln>
              <a:solidFill>
                <a:schemeClr val="tx2">
                  <a:lumMod val="20000"/>
                  <a:lumOff val="80000"/>
                </a:schemeClr>
              </a:solidFill>
            </a:ln>
          </c:spPr>
          <c:invertIfNegative val="0"/>
          <c:cat>
            <c:strRef>
              <c:f>Sheet1!$A$2:$A$6</c:f>
              <c:strCache>
                <c:ptCount val="5"/>
                <c:pt idx="0">
                  <c:v>5 
always considerate</c:v>
                </c:pt>
                <c:pt idx="1">
                  <c:v>4</c:v>
                </c:pt>
                <c:pt idx="2">
                  <c:v>3
neutral</c:v>
                </c:pt>
                <c:pt idx="3">
                  <c:v>2</c:v>
                </c:pt>
                <c:pt idx="4">
                  <c:v>1 
usually rude</c:v>
                </c:pt>
              </c:strCache>
            </c:strRef>
          </c:cat>
          <c:val>
            <c:numRef>
              <c:f>Sheet1!$E$2:$E$6</c:f>
              <c:numCache>
                <c:formatCode>0.00%</c:formatCode>
                <c:ptCount val="5"/>
                <c:pt idx="0">
                  <c:v>0.92100000000000004</c:v>
                </c:pt>
                <c:pt idx="1">
                  <c:v>6.7000000000000004E-2</c:v>
                </c:pt>
                <c:pt idx="2">
                  <c:v>1.2999999999999999E-2</c:v>
                </c:pt>
                <c:pt idx="3">
                  <c:v>0</c:v>
                </c:pt>
                <c:pt idx="4">
                  <c:v>0</c:v>
                </c:pt>
              </c:numCache>
            </c:numRef>
          </c:val>
        </c:ser>
        <c:dLbls>
          <c:showLegendKey val="0"/>
          <c:showVal val="0"/>
          <c:showCatName val="0"/>
          <c:showSerName val="0"/>
          <c:showPercent val="0"/>
          <c:showBubbleSize val="0"/>
        </c:dLbls>
        <c:gapWidth val="150"/>
        <c:axId val="116171904"/>
        <c:axId val="116173440"/>
      </c:barChart>
      <c:catAx>
        <c:axId val="116171904"/>
        <c:scaling>
          <c:orientation val="minMax"/>
        </c:scaling>
        <c:delete val="0"/>
        <c:axPos val="b"/>
        <c:majorTickMark val="out"/>
        <c:minorTickMark val="none"/>
        <c:tickLblPos val="nextTo"/>
        <c:crossAx val="116173440"/>
        <c:crosses val="autoZero"/>
        <c:auto val="1"/>
        <c:lblAlgn val="ctr"/>
        <c:lblOffset val="100"/>
        <c:noMultiLvlLbl val="0"/>
      </c:catAx>
      <c:valAx>
        <c:axId val="116173440"/>
        <c:scaling>
          <c:orientation val="minMax"/>
        </c:scaling>
        <c:delete val="0"/>
        <c:axPos val="l"/>
        <c:majorGridlines/>
        <c:numFmt formatCode="0.0%" sourceLinked="1"/>
        <c:majorTickMark val="out"/>
        <c:minorTickMark val="none"/>
        <c:tickLblPos val="nextTo"/>
        <c:crossAx val="116171904"/>
        <c:crosses val="autoZero"/>
        <c:crossBetween val="between"/>
        <c:majorUnit val="0.2"/>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What do</a:t>
            </a:r>
            <a:r>
              <a:rPr lang="en-US" baseline="0"/>
              <a:t> you like most about UF Dentistry</a:t>
            </a:r>
            <a:r>
              <a:rPr lang="en-US"/>
              <a:t>?</a:t>
            </a:r>
          </a:p>
        </c:rich>
      </c:tx>
      <c:overlay val="0"/>
    </c:title>
    <c:autoTitleDeleted val="0"/>
    <c:plotArea>
      <c:layout/>
      <c:barChart>
        <c:barDir val="col"/>
        <c:grouping val="clustered"/>
        <c:varyColors val="0"/>
        <c:ser>
          <c:idx val="0"/>
          <c:order val="0"/>
          <c:tx>
            <c:strRef>
              <c:f>Sheet1!$B$1</c:f>
              <c:strCache>
                <c:ptCount val="1"/>
                <c:pt idx="0">
                  <c:v>2009</c:v>
                </c:pt>
              </c:strCache>
            </c:strRef>
          </c:tx>
          <c:invertIfNegative val="0"/>
          <c:cat>
            <c:strRef>
              <c:f>Sheet1!$A$2:$A$6</c:f>
              <c:strCache>
                <c:ptCount val="5"/>
                <c:pt idx="0">
                  <c:v>Quality care/
Trust</c:v>
                </c:pt>
                <c:pt idx="1">
                  <c:v>Students/
Dentists/
Staff</c:v>
                </c:pt>
                <c:pt idx="2">
                  <c:v>Friendliness/
Professionalism/
Concern</c:v>
                </c:pt>
                <c:pt idx="3">
                  <c:v>Cost</c:v>
                </c:pt>
                <c:pt idx="4">
                  <c:v>Other</c:v>
                </c:pt>
              </c:strCache>
            </c:strRef>
          </c:cat>
          <c:val>
            <c:numRef>
              <c:f>Sheet1!$B$2:$B$6</c:f>
              <c:numCache>
                <c:formatCode>0.0%</c:formatCode>
                <c:ptCount val="5"/>
                <c:pt idx="0">
                  <c:v>0.317</c:v>
                </c:pt>
                <c:pt idx="1">
                  <c:v>0.14299999999999999</c:v>
                </c:pt>
                <c:pt idx="2">
                  <c:v>0.33</c:v>
                </c:pt>
                <c:pt idx="3">
                  <c:v>0.128</c:v>
                </c:pt>
                <c:pt idx="4">
                  <c:v>8.2000000000000003E-2</c:v>
                </c:pt>
              </c:numCache>
            </c:numRef>
          </c:val>
        </c:ser>
        <c:ser>
          <c:idx val="1"/>
          <c:order val="1"/>
          <c:tx>
            <c:strRef>
              <c:f>Sheet1!$C$1</c:f>
              <c:strCache>
                <c:ptCount val="1"/>
                <c:pt idx="0">
                  <c:v>2010</c:v>
                </c:pt>
              </c:strCache>
            </c:strRef>
          </c:tx>
          <c:spPr>
            <a:solidFill>
              <a:schemeClr val="accent6"/>
            </a:solidFill>
            <a:ln>
              <a:solidFill>
                <a:schemeClr val="accent6"/>
              </a:solidFill>
            </a:ln>
          </c:spPr>
          <c:invertIfNegative val="0"/>
          <c:cat>
            <c:strRef>
              <c:f>Sheet1!$A$2:$A$6</c:f>
              <c:strCache>
                <c:ptCount val="5"/>
                <c:pt idx="0">
                  <c:v>Quality care/
Trust</c:v>
                </c:pt>
                <c:pt idx="1">
                  <c:v>Students/
Dentists/
Staff</c:v>
                </c:pt>
                <c:pt idx="2">
                  <c:v>Friendliness/
Professionalism/
Concern</c:v>
                </c:pt>
                <c:pt idx="3">
                  <c:v>Cost</c:v>
                </c:pt>
                <c:pt idx="4">
                  <c:v>Other</c:v>
                </c:pt>
              </c:strCache>
            </c:strRef>
          </c:cat>
          <c:val>
            <c:numRef>
              <c:f>Sheet1!$C$2:$C$6</c:f>
              <c:numCache>
                <c:formatCode>0.0%</c:formatCode>
                <c:ptCount val="5"/>
                <c:pt idx="0">
                  <c:v>0.27900000000000003</c:v>
                </c:pt>
                <c:pt idx="1">
                  <c:v>0.23899999999999999</c:v>
                </c:pt>
                <c:pt idx="2">
                  <c:v>0.17499999999999999</c:v>
                </c:pt>
                <c:pt idx="3">
                  <c:v>0.09</c:v>
                </c:pt>
                <c:pt idx="4">
                  <c:v>0.217</c:v>
                </c:pt>
              </c:numCache>
            </c:numRef>
          </c:val>
        </c:ser>
        <c:ser>
          <c:idx val="2"/>
          <c:order val="2"/>
          <c:tx>
            <c:strRef>
              <c:f>Sheet1!$D$1</c:f>
              <c:strCache>
                <c:ptCount val="1"/>
                <c:pt idx="0">
                  <c:v>2011</c:v>
                </c:pt>
              </c:strCache>
            </c:strRef>
          </c:tx>
          <c:invertIfNegative val="0"/>
          <c:cat>
            <c:strRef>
              <c:f>Sheet1!$A$2:$A$6</c:f>
              <c:strCache>
                <c:ptCount val="5"/>
                <c:pt idx="0">
                  <c:v>Quality care/
Trust</c:v>
                </c:pt>
                <c:pt idx="1">
                  <c:v>Students/
Dentists/
Staff</c:v>
                </c:pt>
                <c:pt idx="2">
                  <c:v>Friendliness/
Professionalism/
Concern</c:v>
                </c:pt>
                <c:pt idx="3">
                  <c:v>Cost</c:v>
                </c:pt>
                <c:pt idx="4">
                  <c:v>Other</c:v>
                </c:pt>
              </c:strCache>
            </c:strRef>
          </c:cat>
          <c:val>
            <c:numRef>
              <c:f>Sheet1!$D$2:$D$6</c:f>
              <c:numCache>
                <c:formatCode>0.0%</c:formatCode>
                <c:ptCount val="5"/>
                <c:pt idx="0">
                  <c:v>0.34799999999999998</c:v>
                </c:pt>
                <c:pt idx="1">
                  <c:v>0.23499999999999999</c:v>
                </c:pt>
                <c:pt idx="2">
                  <c:v>0.26700000000000002</c:v>
                </c:pt>
                <c:pt idx="3">
                  <c:v>0.125</c:v>
                </c:pt>
                <c:pt idx="4">
                  <c:v>0.22900000000000001</c:v>
                </c:pt>
              </c:numCache>
            </c:numRef>
          </c:val>
        </c:ser>
        <c:ser>
          <c:idx val="3"/>
          <c:order val="3"/>
          <c:tx>
            <c:strRef>
              <c:f>Sheet1!$E$1</c:f>
              <c:strCache>
                <c:ptCount val="1"/>
                <c:pt idx="0">
                  <c:v>2012</c:v>
                </c:pt>
              </c:strCache>
            </c:strRef>
          </c:tx>
          <c:spPr>
            <a:solidFill>
              <a:schemeClr val="tx2"/>
            </a:solidFill>
            <a:ln>
              <a:solidFill>
                <a:schemeClr val="tx2"/>
              </a:solidFill>
            </a:ln>
          </c:spPr>
          <c:invertIfNegative val="0"/>
          <c:cat>
            <c:strRef>
              <c:f>Sheet1!$A$2:$A$6</c:f>
              <c:strCache>
                <c:ptCount val="5"/>
                <c:pt idx="0">
                  <c:v>Quality care/
Trust</c:v>
                </c:pt>
                <c:pt idx="1">
                  <c:v>Students/
Dentists/
Staff</c:v>
                </c:pt>
                <c:pt idx="2">
                  <c:v>Friendliness/
Professionalism/
Concern</c:v>
                </c:pt>
                <c:pt idx="3">
                  <c:v>Cost</c:v>
                </c:pt>
                <c:pt idx="4">
                  <c:v>Other</c:v>
                </c:pt>
              </c:strCache>
            </c:strRef>
          </c:cat>
          <c:val>
            <c:numRef>
              <c:f>Sheet1!$E$2:$E$6</c:f>
              <c:numCache>
                <c:formatCode>0.0%</c:formatCode>
                <c:ptCount val="5"/>
                <c:pt idx="0">
                  <c:v>0.315</c:v>
                </c:pt>
                <c:pt idx="1">
                  <c:v>0.28100000000000003</c:v>
                </c:pt>
                <c:pt idx="2">
                  <c:v>0.25700000000000001</c:v>
                </c:pt>
                <c:pt idx="3">
                  <c:v>0.14899999999999999</c:v>
                </c:pt>
                <c:pt idx="4">
                  <c:v>0.22</c:v>
                </c:pt>
              </c:numCache>
            </c:numRef>
          </c:val>
        </c:ser>
        <c:ser>
          <c:idx val="4"/>
          <c:order val="4"/>
          <c:tx>
            <c:strRef>
              <c:f>Sheet1!$F$1</c:f>
              <c:strCache>
                <c:ptCount val="1"/>
                <c:pt idx="0">
                  <c:v>2013</c:v>
                </c:pt>
              </c:strCache>
            </c:strRef>
          </c:tx>
          <c:spPr>
            <a:solidFill>
              <a:schemeClr val="tx2">
                <a:lumMod val="20000"/>
                <a:lumOff val="80000"/>
              </a:schemeClr>
            </a:solidFill>
            <a:ln>
              <a:solidFill>
                <a:schemeClr val="tx2">
                  <a:lumMod val="20000"/>
                  <a:lumOff val="80000"/>
                </a:schemeClr>
              </a:solidFill>
            </a:ln>
          </c:spPr>
          <c:invertIfNegative val="0"/>
          <c:cat>
            <c:strRef>
              <c:f>Sheet1!$A$2:$A$6</c:f>
              <c:strCache>
                <c:ptCount val="5"/>
                <c:pt idx="0">
                  <c:v>Quality care/
Trust</c:v>
                </c:pt>
                <c:pt idx="1">
                  <c:v>Students/
Dentists/
Staff</c:v>
                </c:pt>
                <c:pt idx="2">
                  <c:v>Friendliness/
Professionalism/
Concern</c:v>
                </c:pt>
                <c:pt idx="3">
                  <c:v>Cost</c:v>
                </c:pt>
                <c:pt idx="4">
                  <c:v>Other</c:v>
                </c:pt>
              </c:strCache>
            </c:strRef>
          </c:cat>
          <c:val>
            <c:numRef>
              <c:f>Sheet1!$F$2:$F$6</c:f>
              <c:numCache>
                <c:formatCode>0.0%</c:formatCode>
                <c:ptCount val="5"/>
                <c:pt idx="0">
                  <c:v>0.32700000000000001</c:v>
                </c:pt>
                <c:pt idx="1">
                  <c:v>0.16300000000000001</c:v>
                </c:pt>
                <c:pt idx="2">
                  <c:v>0.35799999999999998</c:v>
                </c:pt>
                <c:pt idx="3">
                  <c:v>0.10100000000000001</c:v>
                </c:pt>
                <c:pt idx="4">
                  <c:v>0.20300000000000001</c:v>
                </c:pt>
              </c:numCache>
            </c:numRef>
          </c:val>
        </c:ser>
        <c:dLbls>
          <c:showLegendKey val="0"/>
          <c:showVal val="0"/>
          <c:showCatName val="0"/>
          <c:showSerName val="0"/>
          <c:showPercent val="0"/>
          <c:showBubbleSize val="0"/>
        </c:dLbls>
        <c:gapWidth val="150"/>
        <c:axId val="115959680"/>
        <c:axId val="115961216"/>
      </c:barChart>
      <c:catAx>
        <c:axId val="115959680"/>
        <c:scaling>
          <c:orientation val="minMax"/>
        </c:scaling>
        <c:delete val="0"/>
        <c:axPos val="b"/>
        <c:majorTickMark val="out"/>
        <c:minorTickMark val="none"/>
        <c:tickLblPos val="nextTo"/>
        <c:crossAx val="115961216"/>
        <c:crosses val="autoZero"/>
        <c:auto val="1"/>
        <c:lblAlgn val="ctr"/>
        <c:lblOffset val="100"/>
        <c:noMultiLvlLbl val="0"/>
      </c:catAx>
      <c:valAx>
        <c:axId val="115961216"/>
        <c:scaling>
          <c:orientation val="minMax"/>
        </c:scaling>
        <c:delete val="0"/>
        <c:axPos val="l"/>
        <c:majorGridlines/>
        <c:numFmt formatCode="0.0%" sourceLinked="1"/>
        <c:majorTickMark val="out"/>
        <c:minorTickMark val="none"/>
        <c:tickLblPos val="nextTo"/>
        <c:crossAx val="115959680"/>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What can we improve?</a:t>
            </a:r>
          </a:p>
        </c:rich>
      </c:tx>
      <c:overlay val="0"/>
    </c:title>
    <c:autoTitleDeleted val="0"/>
    <c:plotArea>
      <c:layout/>
      <c:barChart>
        <c:barDir val="col"/>
        <c:grouping val="clustered"/>
        <c:varyColors val="0"/>
        <c:ser>
          <c:idx val="0"/>
          <c:order val="0"/>
          <c:tx>
            <c:strRef>
              <c:f>Sheet1!$B$1</c:f>
              <c:strCache>
                <c:ptCount val="1"/>
                <c:pt idx="0">
                  <c:v>2009</c:v>
                </c:pt>
              </c:strCache>
            </c:strRef>
          </c:tx>
          <c:invertIfNegative val="0"/>
          <c:cat>
            <c:strRef>
              <c:f>Sheet1!$A$2:$A$7</c:f>
              <c:strCache>
                <c:ptCount val="6"/>
                <c:pt idx="0">
                  <c:v>Satisfied</c:v>
                </c:pt>
                <c:pt idx="1">
                  <c:v>Scheduling/
Wait times</c:v>
                </c:pt>
                <c:pt idx="2">
                  <c:v>Fees</c:v>
                </c:pt>
                <c:pt idx="3">
                  <c:v>Parking</c:v>
                </c:pt>
                <c:pt idx="4">
                  <c:v>Location</c:v>
                </c:pt>
                <c:pt idx="5">
                  <c:v>Other</c:v>
                </c:pt>
              </c:strCache>
            </c:strRef>
          </c:cat>
          <c:val>
            <c:numRef>
              <c:f>Sheet1!$B$2:$B$7</c:f>
              <c:numCache>
                <c:formatCode>0.0%</c:formatCode>
                <c:ptCount val="6"/>
                <c:pt idx="0">
                  <c:v>0.67500000000000004</c:v>
                </c:pt>
                <c:pt idx="1">
                  <c:v>8.5999999999999993E-2</c:v>
                </c:pt>
                <c:pt idx="2">
                  <c:v>4.2000000000000003E-2</c:v>
                </c:pt>
                <c:pt idx="3">
                  <c:v>4.2000000000000003E-2</c:v>
                </c:pt>
                <c:pt idx="4">
                  <c:v>3.4000000000000002E-2</c:v>
                </c:pt>
                <c:pt idx="5">
                  <c:v>0.12</c:v>
                </c:pt>
              </c:numCache>
            </c:numRef>
          </c:val>
        </c:ser>
        <c:ser>
          <c:idx val="1"/>
          <c:order val="1"/>
          <c:tx>
            <c:strRef>
              <c:f>Sheet1!$C$1</c:f>
              <c:strCache>
                <c:ptCount val="1"/>
                <c:pt idx="0">
                  <c:v>2010</c:v>
                </c:pt>
              </c:strCache>
            </c:strRef>
          </c:tx>
          <c:spPr>
            <a:solidFill>
              <a:schemeClr val="accent6"/>
            </a:solidFill>
            <a:ln>
              <a:solidFill>
                <a:schemeClr val="accent6"/>
              </a:solidFill>
            </a:ln>
          </c:spPr>
          <c:invertIfNegative val="0"/>
          <c:cat>
            <c:strRef>
              <c:f>Sheet1!$A$2:$A$7</c:f>
              <c:strCache>
                <c:ptCount val="6"/>
                <c:pt idx="0">
                  <c:v>Satisfied</c:v>
                </c:pt>
                <c:pt idx="1">
                  <c:v>Scheduling/
Wait times</c:v>
                </c:pt>
                <c:pt idx="2">
                  <c:v>Fees</c:v>
                </c:pt>
                <c:pt idx="3">
                  <c:v>Parking</c:v>
                </c:pt>
                <c:pt idx="4">
                  <c:v>Location</c:v>
                </c:pt>
                <c:pt idx="5">
                  <c:v>Other</c:v>
                </c:pt>
              </c:strCache>
            </c:strRef>
          </c:cat>
          <c:val>
            <c:numRef>
              <c:f>Sheet1!$C$2:$C$7</c:f>
              <c:numCache>
                <c:formatCode>0.0%</c:formatCode>
                <c:ptCount val="6"/>
                <c:pt idx="0">
                  <c:v>0.58899999999999997</c:v>
                </c:pt>
                <c:pt idx="1">
                  <c:v>4.7E-2</c:v>
                </c:pt>
                <c:pt idx="2">
                  <c:v>2.8000000000000001E-2</c:v>
                </c:pt>
                <c:pt idx="3">
                  <c:v>7.6999999999999999E-2</c:v>
                </c:pt>
                <c:pt idx="4">
                  <c:v>2.4E-2</c:v>
                </c:pt>
                <c:pt idx="5">
                  <c:v>0.23499999999999999</c:v>
                </c:pt>
              </c:numCache>
            </c:numRef>
          </c:val>
        </c:ser>
        <c:ser>
          <c:idx val="2"/>
          <c:order val="2"/>
          <c:tx>
            <c:strRef>
              <c:f>Sheet1!$D$1</c:f>
              <c:strCache>
                <c:ptCount val="1"/>
                <c:pt idx="0">
                  <c:v>2011</c:v>
                </c:pt>
              </c:strCache>
            </c:strRef>
          </c:tx>
          <c:invertIfNegative val="0"/>
          <c:cat>
            <c:strRef>
              <c:f>Sheet1!$A$2:$A$7</c:f>
              <c:strCache>
                <c:ptCount val="6"/>
                <c:pt idx="0">
                  <c:v>Satisfied</c:v>
                </c:pt>
                <c:pt idx="1">
                  <c:v>Scheduling/
Wait times</c:v>
                </c:pt>
                <c:pt idx="2">
                  <c:v>Fees</c:v>
                </c:pt>
                <c:pt idx="3">
                  <c:v>Parking</c:v>
                </c:pt>
                <c:pt idx="4">
                  <c:v>Location</c:v>
                </c:pt>
                <c:pt idx="5">
                  <c:v>Other</c:v>
                </c:pt>
              </c:strCache>
            </c:strRef>
          </c:cat>
          <c:val>
            <c:numRef>
              <c:f>Sheet1!$D$2:$D$7</c:f>
              <c:numCache>
                <c:formatCode>0.0%</c:formatCode>
                <c:ptCount val="6"/>
                <c:pt idx="0">
                  <c:v>0.58599999999999997</c:v>
                </c:pt>
                <c:pt idx="1">
                  <c:v>4.4999999999999998E-2</c:v>
                </c:pt>
                <c:pt idx="2">
                  <c:v>4.4999999999999998E-2</c:v>
                </c:pt>
                <c:pt idx="3">
                  <c:v>4.2999999999999997E-2</c:v>
                </c:pt>
                <c:pt idx="4">
                  <c:v>2.1000000000000001E-2</c:v>
                </c:pt>
                <c:pt idx="5">
                  <c:v>0.26</c:v>
                </c:pt>
              </c:numCache>
            </c:numRef>
          </c:val>
        </c:ser>
        <c:ser>
          <c:idx val="3"/>
          <c:order val="3"/>
          <c:tx>
            <c:strRef>
              <c:f>Sheet1!$E$1</c:f>
              <c:strCache>
                <c:ptCount val="1"/>
                <c:pt idx="0">
                  <c:v>2012</c:v>
                </c:pt>
              </c:strCache>
            </c:strRef>
          </c:tx>
          <c:spPr>
            <a:solidFill>
              <a:schemeClr val="accent1">
                <a:lumMod val="50000"/>
              </a:schemeClr>
            </a:solidFill>
            <a:ln>
              <a:solidFill>
                <a:schemeClr val="accent1">
                  <a:lumMod val="50000"/>
                </a:schemeClr>
              </a:solidFill>
            </a:ln>
          </c:spPr>
          <c:invertIfNegative val="0"/>
          <c:cat>
            <c:strRef>
              <c:f>Sheet1!$A$2:$A$7</c:f>
              <c:strCache>
                <c:ptCount val="6"/>
                <c:pt idx="0">
                  <c:v>Satisfied</c:v>
                </c:pt>
                <c:pt idx="1">
                  <c:v>Scheduling/
Wait times</c:v>
                </c:pt>
                <c:pt idx="2">
                  <c:v>Fees</c:v>
                </c:pt>
                <c:pt idx="3">
                  <c:v>Parking</c:v>
                </c:pt>
                <c:pt idx="4">
                  <c:v>Location</c:v>
                </c:pt>
                <c:pt idx="5">
                  <c:v>Other</c:v>
                </c:pt>
              </c:strCache>
            </c:strRef>
          </c:cat>
          <c:val>
            <c:numRef>
              <c:f>Sheet1!$E$2:$E$7</c:f>
              <c:numCache>
                <c:formatCode>0.0%</c:formatCode>
                <c:ptCount val="6"/>
                <c:pt idx="0">
                  <c:v>0.56399999999999995</c:v>
                </c:pt>
                <c:pt idx="1">
                  <c:v>0.10100000000000001</c:v>
                </c:pt>
                <c:pt idx="2">
                  <c:v>0.05</c:v>
                </c:pt>
                <c:pt idx="3">
                  <c:v>0.01</c:v>
                </c:pt>
                <c:pt idx="4">
                  <c:v>2.8000000000000001E-2</c:v>
                </c:pt>
                <c:pt idx="5">
                  <c:v>0.247</c:v>
                </c:pt>
              </c:numCache>
            </c:numRef>
          </c:val>
        </c:ser>
        <c:ser>
          <c:idx val="4"/>
          <c:order val="4"/>
          <c:tx>
            <c:strRef>
              <c:f>Sheet1!$F$1</c:f>
              <c:strCache>
                <c:ptCount val="1"/>
                <c:pt idx="0">
                  <c:v>2013</c:v>
                </c:pt>
              </c:strCache>
            </c:strRef>
          </c:tx>
          <c:spPr>
            <a:solidFill>
              <a:schemeClr val="tx2">
                <a:lumMod val="20000"/>
                <a:lumOff val="80000"/>
              </a:schemeClr>
            </a:solidFill>
            <a:ln>
              <a:solidFill>
                <a:schemeClr val="tx2">
                  <a:lumMod val="20000"/>
                  <a:lumOff val="80000"/>
                </a:schemeClr>
              </a:solidFill>
            </a:ln>
          </c:spPr>
          <c:invertIfNegative val="0"/>
          <c:cat>
            <c:strRef>
              <c:f>Sheet1!$A$2:$A$7</c:f>
              <c:strCache>
                <c:ptCount val="6"/>
                <c:pt idx="0">
                  <c:v>Satisfied</c:v>
                </c:pt>
                <c:pt idx="1">
                  <c:v>Scheduling/
Wait times</c:v>
                </c:pt>
                <c:pt idx="2">
                  <c:v>Fees</c:v>
                </c:pt>
                <c:pt idx="3">
                  <c:v>Parking</c:v>
                </c:pt>
                <c:pt idx="4">
                  <c:v>Location</c:v>
                </c:pt>
                <c:pt idx="5">
                  <c:v>Other</c:v>
                </c:pt>
              </c:strCache>
            </c:strRef>
          </c:cat>
          <c:val>
            <c:numRef>
              <c:f>Sheet1!$F$2:$F$7</c:f>
              <c:numCache>
                <c:formatCode>0.0%</c:formatCode>
                <c:ptCount val="6"/>
                <c:pt idx="0">
                  <c:v>0.44600000000000001</c:v>
                </c:pt>
                <c:pt idx="1">
                  <c:v>0.109</c:v>
                </c:pt>
                <c:pt idx="2">
                  <c:v>6.9000000000000006E-2</c:v>
                </c:pt>
                <c:pt idx="3">
                  <c:v>2.1000000000000001E-2</c:v>
                </c:pt>
                <c:pt idx="4">
                  <c:v>2.4E-2</c:v>
                </c:pt>
                <c:pt idx="5">
                  <c:v>0.33400000000000002</c:v>
                </c:pt>
              </c:numCache>
            </c:numRef>
          </c:val>
        </c:ser>
        <c:dLbls>
          <c:showLegendKey val="0"/>
          <c:showVal val="0"/>
          <c:showCatName val="0"/>
          <c:showSerName val="0"/>
          <c:showPercent val="0"/>
          <c:showBubbleSize val="0"/>
        </c:dLbls>
        <c:gapWidth val="150"/>
        <c:axId val="116320896"/>
        <c:axId val="116326784"/>
      </c:barChart>
      <c:catAx>
        <c:axId val="116320896"/>
        <c:scaling>
          <c:orientation val="minMax"/>
        </c:scaling>
        <c:delete val="0"/>
        <c:axPos val="b"/>
        <c:majorTickMark val="out"/>
        <c:minorTickMark val="none"/>
        <c:tickLblPos val="nextTo"/>
        <c:crossAx val="116326784"/>
        <c:crosses val="autoZero"/>
        <c:auto val="1"/>
        <c:lblAlgn val="ctr"/>
        <c:lblOffset val="100"/>
        <c:noMultiLvlLbl val="0"/>
      </c:catAx>
      <c:valAx>
        <c:axId val="116326784"/>
        <c:scaling>
          <c:orientation val="minMax"/>
        </c:scaling>
        <c:delete val="0"/>
        <c:axPos val="l"/>
        <c:majorGridlines/>
        <c:numFmt formatCode="0.0%" sourceLinked="1"/>
        <c:majorTickMark val="out"/>
        <c:minorTickMark val="none"/>
        <c:tickLblPos val="nextTo"/>
        <c:crossAx val="116320896"/>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What can we</a:t>
            </a:r>
            <a:r>
              <a:rPr lang="en-US" baseline="0"/>
              <a:t> improve? (2010-2012)</a:t>
            </a:r>
            <a:endParaRPr lang="en-US"/>
          </a:p>
        </c:rich>
      </c:tx>
      <c:overlay val="0"/>
    </c:title>
    <c:autoTitleDeleted val="0"/>
    <c:plotArea>
      <c:layout/>
      <c:barChart>
        <c:barDir val="bar"/>
        <c:grouping val="clustered"/>
        <c:varyColors val="0"/>
        <c:ser>
          <c:idx val="0"/>
          <c:order val="0"/>
          <c:tx>
            <c:strRef>
              <c:f>Sheet1!$B$1</c:f>
              <c:strCache>
                <c:ptCount val="1"/>
                <c:pt idx="0">
                  <c:v>2010</c:v>
                </c:pt>
              </c:strCache>
            </c:strRef>
          </c:tx>
          <c:spPr>
            <a:solidFill>
              <a:schemeClr val="accent6"/>
            </a:solidFill>
            <a:ln>
              <a:solidFill>
                <a:schemeClr val="accent6"/>
              </a:solidFill>
            </a:ln>
          </c:spPr>
          <c:invertIfNegative val="0"/>
          <c:cat>
            <c:strRef>
              <c:f>Sheet1!$A$2:$A$10</c:f>
              <c:strCache>
                <c:ptCount val="9"/>
                <c:pt idx="0">
                  <c:v>Other</c:v>
                </c:pt>
                <c:pt idx="1">
                  <c:v>Cleanliness</c:v>
                </c:pt>
                <c:pt idx="2">
                  <c:v>Parking</c:v>
                </c:pt>
                <c:pt idx="3">
                  <c:v>Location</c:v>
                </c:pt>
                <c:pt idx="4">
                  <c:v>Info/Customer Service</c:v>
                </c:pt>
                <c:pt idx="5">
                  <c:v>Scheduling</c:v>
                </c:pt>
                <c:pt idx="6">
                  <c:v>Faster/Shorter Waits</c:v>
                </c:pt>
                <c:pt idx="7">
                  <c:v>Fees</c:v>
                </c:pt>
                <c:pt idx="8">
                  <c:v>Atmosphere</c:v>
                </c:pt>
              </c:strCache>
            </c:strRef>
          </c:cat>
          <c:val>
            <c:numRef>
              <c:f>Sheet1!$B$2:$B$10</c:f>
              <c:numCache>
                <c:formatCode>0.0%</c:formatCode>
                <c:ptCount val="9"/>
                <c:pt idx="0">
                  <c:v>0.11799999999999999</c:v>
                </c:pt>
                <c:pt idx="1">
                  <c:v>5.3999999999999999E-2</c:v>
                </c:pt>
                <c:pt idx="2">
                  <c:v>0.187</c:v>
                </c:pt>
                <c:pt idx="3">
                  <c:v>5.8999999999999997E-2</c:v>
                </c:pt>
                <c:pt idx="4">
                  <c:v>8.4000000000000005E-2</c:v>
                </c:pt>
                <c:pt idx="5">
                  <c:v>0.113</c:v>
                </c:pt>
                <c:pt idx="6">
                  <c:v>9.9000000000000005E-2</c:v>
                </c:pt>
                <c:pt idx="7">
                  <c:v>6.9000000000000006E-2</c:v>
                </c:pt>
                <c:pt idx="8">
                  <c:v>0.217</c:v>
                </c:pt>
              </c:numCache>
            </c:numRef>
          </c:val>
        </c:ser>
        <c:ser>
          <c:idx val="1"/>
          <c:order val="1"/>
          <c:tx>
            <c:strRef>
              <c:f>Sheet1!$C$1</c:f>
              <c:strCache>
                <c:ptCount val="1"/>
                <c:pt idx="0">
                  <c:v>2011</c:v>
                </c:pt>
              </c:strCache>
            </c:strRef>
          </c:tx>
          <c:spPr>
            <a:solidFill>
              <a:schemeClr val="accent3"/>
            </a:solidFill>
            <a:ln>
              <a:solidFill>
                <a:schemeClr val="accent3"/>
              </a:solidFill>
            </a:ln>
          </c:spPr>
          <c:invertIfNegative val="0"/>
          <c:cat>
            <c:strRef>
              <c:f>Sheet1!$A$2:$A$10</c:f>
              <c:strCache>
                <c:ptCount val="9"/>
                <c:pt idx="0">
                  <c:v>Other</c:v>
                </c:pt>
                <c:pt idx="1">
                  <c:v>Cleanliness</c:v>
                </c:pt>
                <c:pt idx="2">
                  <c:v>Parking</c:v>
                </c:pt>
                <c:pt idx="3">
                  <c:v>Location</c:v>
                </c:pt>
                <c:pt idx="4">
                  <c:v>Info/Customer Service</c:v>
                </c:pt>
                <c:pt idx="5">
                  <c:v>Scheduling</c:v>
                </c:pt>
                <c:pt idx="6">
                  <c:v>Faster/Shorter Waits</c:v>
                </c:pt>
                <c:pt idx="7">
                  <c:v>Fees</c:v>
                </c:pt>
                <c:pt idx="8">
                  <c:v>Atmosphere</c:v>
                </c:pt>
              </c:strCache>
            </c:strRef>
          </c:cat>
          <c:val>
            <c:numRef>
              <c:f>Sheet1!$C$2:$C$10</c:f>
              <c:numCache>
                <c:formatCode>0.0%</c:formatCode>
                <c:ptCount val="9"/>
                <c:pt idx="0">
                  <c:v>0.17699999999999999</c:v>
                </c:pt>
                <c:pt idx="1">
                  <c:v>2.3E-2</c:v>
                </c:pt>
                <c:pt idx="2">
                  <c:v>0.10299999999999999</c:v>
                </c:pt>
                <c:pt idx="3">
                  <c:v>5.0999999999999997E-2</c:v>
                </c:pt>
                <c:pt idx="4">
                  <c:v>9.7000000000000003E-2</c:v>
                </c:pt>
                <c:pt idx="5">
                  <c:v>0.109</c:v>
                </c:pt>
                <c:pt idx="6">
                  <c:v>0.10299999999999999</c:v>
                </c:pt>
                <c:pt idx="7">
                  <c:v>0.109</c:v>
                </c:pt>
                <c:pt idx="8">
                  <c:v>0.22900000000000001</c:v>
                </c:pt>
              </c:numCache>
            </c:numRef>
          </c:val>
        </c:ser>
        <c:ser>
          <c:idx val="2"/>
          <c:order val="2"/>
          <c:tx>
            <c:strRef>
              <c:f>Sheet1!$D$1</c:f>
              <c:strCache>
                <c:ptCount val="1"/>
                <c:pt idx="0">
                  <c:v>2012</c:v>
                </c:pt>
              </c:strCache>
            </c:strRef>
          </c:tx>
          <c:spPr>
            <a:solidFill>
              <a:schemeClr val="tx2"/>
            </a:solidFill>
            <a:ln>
              <a:solidFill>
                <a:schemeClr val="tx2"/>
              </a:solidFill>
            </a:ln>
          </c:spPr>
          <c:invertIfNegative val="0"/>
          <c:cat>
            <c:strRef>
              <c:f>Sheet1!$A$2:$A$10</c:f>
              <c:strCache>
                <c:ptCount val="9"/>
                <c:pt idx="0">
                  <c:v>Other</c:v>
                </c:pt>
                <c:pt idx="1">
                  <c:v>Cleanliness</c:v>
                </c:pt>
                <c:pt idx="2">
                  <c:v>Parking</c:v>
                </c:pt>
                <c:pt idx="3">
                  <c:v>Location</c:v>
                </c:pt>
                <c:pt idx="4">
                  <c:v>Info/Customer Service</c:v>
                </c:pt>
                <c:pt idx="5">
                  <c:v>Scheduling</c:v>
                </c:pt>
                <c:pt idx="6">
                  <c:v>Faster/Shorter Waits</c:v>
                </c:pt>
                <c:pt idx="7">
                  <c:v>Fees</c:v>
                </c:pt>
                <c:pt idx="8">
                  <c:v>Atmosphere</c:v>
                </c:pt>
              </c:strCache>
            </c:strRef>
          </c:cat>
          <c:val>
            <c:numRef>
              <c:f>Sheet1!$D$2:$D$10</c:f>
              <c:numCache>
                <c:formatCode>0.0%</c:formatCode>
                <c:ptCount val="9"/>
                <c:pt idx="0">
                  <c:v>0.16800000000000001</c:v>
                </c:pt>
                <c:pt idx="1">
                  <c:v>4.5999999999999999E-2</c:v>
                </c:pt>
                <c:pt idx="2">
                  <c:v>2.3E-2</c:v>
                </c:pt>
                <c:pt idx="3">
                  <c:v>6.4000000000000001E-2</c:v>
                </c:pt>
                <c:pt idx="4">
                  <c:v>5.8000000000000003E-2</c:v>
                </c:pt>
                <c:pt idx="5">
                  <c:v>7.4999999999999997E-2</c:v>
                </c:pt>
                <c:pt idx="6">
                  <c:v>0.14499999999999999</c:v>
                </c:pt>
                <c:pt idx="7">
                  <c:v>0.11600000000000001</c:v>
                </c:pt>
                <c:pt idx="8">
                  <c:v>0.30599999999999999</c:v>
                </c:pt>
              </c:numCache>
            </c:numRef>
          </c:val>
        </c:ser>
        <c:ser>
          <c:idx val="3"/>
          <c:order val="3"/>
          <c:tx>
            <c:strRef>
              <c:f>Sheet1!$E$1</c:f>
              <c:strCache>
                <c:ptCount val="1"/>
                <c:pt idx="0">
                  <c:v>2013</c:v>
                </c:pt>
              </c:strCache>
            </c:strRef>
          </c:tx>
          <c:spPr>
            <a:solidFill>
              <a:schemeClr val="tx2">
                <a:lumMod val="20000"/>
                <a:lumOff val="80000"/>
              </a:schemeClr>
            </a:solidFill>
            <a:ln>
              <a:solidFill>
                <a:schemeClr val="tx2">
                  <a:lumMod val="20000"/>
                  <a:lumOff val="80000"/>
                </a:schemeClr>
              </a:solidFill>
            </a:ln>
          </c:spPr>
          <c:invertIfNegative val="0"/>
          <c:cat>
            <c:strRef>
              <c:f>Sheet1!$A$2:$A$10</c:f>
              <c:strCache>
                <c:ptCount val="9"/>
                <c:pt idx="0">
                  <c:v>Other</c:v>
                </c:pt>
                <c:pt idx="1">
                  <c:v>Cleanliness</c:v>
                </c:pt>
                <c:pt idx="2">
                  <c:v>Parking</c:v>
                </c:pt>
                <c:pt idx="3">
                  <c:v>Location</c:v>
                </c:pt>
                <c:pt idx="4">
                  <c:v>Info/Customer Service</c:v>
                </c:pt>
                <c:pt idx="5">
                  <c:v>Scheduling</c:v>
                </c:pt>
                <c:pt idx="6">
                  <c:v>Faster/Shorter Waits</c:v>
                </c:pt>
                <c:pt idx="7">
                  <c:v>Fees</c:v>
                </c:pt>
                <c:pt idx="8">
                  <c:v>Atmosphere</c:v>
                </c:pt>
              </c:strCache>
            </c:strRef>
          </c:cat>
          <c:val>
            <c:numRef>
              <c:f>Sheet1!$E$2:$E$10</c:f>
              <c:numCache>
                <c:formatCode>0.0%</c:formatCode>
                <c:ptCount val="9"/>
                <c:pt idx="0">
                  <c:v>0.26400000000000001</c:v>
                </c:pt>
                <c:pt idx="1">
                  <c:v>1.7000000000000001E-2</c:v>
                </c:pt>
                <c:pt idx="2">
                  <c:v>3.9E-2</c:v>
                </c:pt>
                <c:pt idx="3">
                  <c:v>4.2999999999999997E-2</c:v>
                </c:pt>
                <c:pt idx="4">
                  <c:v>8.2000000000000003E-2</c:v>
                </c:pt>
                <c:pt idx="5">
                  <c:v>8.6999999999999994E-2</c:v>
                </c:pt>
                <c:pt idx="6">
                  <c:v>0.113</c:v>
                </c:pt>
                <c:pt idx="7">
                  <c:v>0.126</c:v>
                </c:pt>
                <c:pt idx="8">
                  <c:v>0.22900000000000001</c:v>
                </c:pt>
              </c:numCache>
            </c:numRef>
          </c:val>
        </c:ser>
        <c:dLbls>
          <c:showLegendKey val="0"/>
          <c:showVal val="0"/>
          <c:showCatName val="0"/>
          <c:showSerName val="0"/>
          <c:showPercent val="0"/>
          <c:showBubbleSize val="0"/>
        </c:dLbls>
        <c:gapWidth val="150"/>
        <c:axId val="116185728"/>
        <c:axId val="116281728"/>
      </c:barChart>
      <c:catAx>
        <c:axId val="116185728"/>
        <c:scaling>
          <c:orientation val="minMax"/>
        </c:scaling>
        <c:delete val="0"/>
        <c:axPos val="l"/>
        <c:majorTickMark val="out"/>
        <c:minorTickMark val="none"/>
        <c:tickLblPos val="nextTo"/>
        <c:crossAx val="116281728"/>
        <c:crosses val="autoZero"/>
        <c:auto val="1"/>
        <c:lblAlgn val="ctr"/>
        <c:lblOffset val="100"/>
        <c:noMultiLvlLbl val="0"/>
      </c:catAx>
      <c:valAx>
        <c:axId val="116281728"/>
        <c:scaling>
          <c:orientation val="minMax"/>
        </c:scaling>
        <c:delete val="0"/>
        <c:axPos val="b"/>
        <c:majorGridlines/>
        <c:numFmt formatCode="0.0%" sourceLinked="1"/>
        <c:majorTickMark val="out"/>
        <c:minorTickMark val="none"/>
        <c:tickLblPos val="nextTo"/>
        <c:crossAx val="116185728"/>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Specialty Clinics</a:t>
            </a:r>
            <a:r>
              <a:rPr lang="en-US" baseline="0"/>
              <a:t>: </a:t>
            </a:r>
            <a:r>
              <a:rPr lang="en-US"/>
              <a:t>Response by </a:t>
            </a:r>
            <a:r>
              <a:rPr lang="en-US" baseline="0"/>
              <a:t>Patients Seen*</a:t>
            </a:r>
            <a:endParaRPr lang="en-US"/>
          </a:p>
        </c:rich>
      </c:tx>
      <c:overlay val="0"/>
    </c:title>
    <c:autoTitleDeleted val="0"/>
    <c:plotArea>
      <c:layout/>
      <c:barChart>
        <c:barDir val="col"/>
        <c:grouping val="clustered"/>
        <c:varyColors val="0"/>
        <c:ser>
          <c:idx val="0"/>
          <c:order val="0"/>
          <c:tx>
            <c:strRef>
              <c:f>Sheet1!$B$1</c:f>
              <c:strCache>
                <c:ptCount val="1"/>
                <c:pt idx="0">
                  <c:v>2010</c:v>
                </c:pt>
              </c:strCache>
            </c:strRef>
          </c:tx>
          <c:spPr>
            <a:solidFill>
              <a:schemeClr val="accent6"/>
            </a:solidFill>
            <a:ln>
              <a:solidFill>
                <a:schemeClr val="accent6"/>
              </a:solidFill>
            </a:ln>
          </c:spPr>
          <c:invertIfNegative val="0"/>
          <c:cat>
            <c:strRef>
              <c:f>Sheet1!$A$2:$A$9</c:f>
              <c:strCache>
                <c:ptCount val="8"/>
                <c:pt idx="0">
                  <c:v>FP</c:v>
                </c:pt>
                <c:pt idx="1">
                  <c:v>OM</c:v>
                </c:pt>
                <c:pt idx="2">
                  <c:v>GE</c:v>
                </c:pt>
                <c:pt idx="3">
                  <c:v>GPR</c:v>
                </c:pt>
                <c:pt idx="4">
                  <c:v>PD</c:v>
                </c:pt>
                <c:pt idx="5">
                  <c:v>GPE</c:v>
                </c:pt>
                <c:pt idx="6">
                  <c:v>OS/SOS/IC</c:v>
                </c:pt>
                <c:pt idx="7">
                  <c:v>OR</c:v>
                </c:pt>
              </c:strCache>
            </c:strRef>
          </c:cat>
          <c:val>
            <c:numRef>
              <c:f>Sheet1!$B$2:$B$9</c:f>
              <c:numCache>
                <c:formatCode>0.0%</c:formatCode>
                <c:ptCount val="8"/>
                <c:pt idx="0">
                  <c:v>0.95399999999999996</c:v>
                </c:pt>
                <c:pt idx="1">
                  <c:v>0.89700000000000002</c:v>
                </c:pt>
                <c:pt idx="2">
                  <c:v>0.63400000000000001</c:v>
                </c:pt>
                <c:pt idx="3">
                  <c:v>0.39200000000000002</c:v>
                </c:pt>
                <c:pt idx="4">
                  <c:v>0.27300000000000002</c:v>
                </c:pt>
                <c:pt idx="5">
                  <c:v>0.14299999999999999</c:v>
                </c:pt>
                <c:pt idx="6">
                  <c:v>0.124</c:v>
                </c:pt>
                <c:pt idx="7">
                  <c:v>0.379</c:v>
                </c:pt>
              </c:numCache>
            </c:numRef>
          </c:val>
        </c:ser>
        <c:ser>
          <c:idx val="1"/>
          <c:order val="1"/>
          <c:tx>
            <c:strRef>
              <c:f>Sheet1!$C$1</c:f>
              <c:strCache>
                <c:ptCount val="1"/>
                <c:pt idx="0">
                  <c:v>2011</c:v>
                </c:pt>
              </c:strCache>
            </c:strRef>
          </c:tx>
          <c:spPr>
            <a:solidFill>
              <a:schemeClr val="accent3"/>
            </a:solidFill>
            <a:ln>
              <a:solidFill>
                <a:schemeClr val="accent3"/>
              </a:solidFill>
            </a:ln>
          </c:spPr>
          <c:invertIfNegative val="0"/>
          <c:cat>
            <c:strRef>
              <c:f>Sheet1!$A$2:$A$9</c:f>
              <c:strCache>
                <c:ptCount val="8"/>
                <c:pt idx="0">
                  <c:v>FP</c:v>
                </c:pt>
                <c:pt idx="1">
                  <c:v>OM</c:v>
                </c:pt>
                <c:pt idx="2">
                  <c:v>GE</c:v>
                </c:pt>
                <c:pt idx="3">
                  <c:v>GPR</c:v>
                </c:pt>
                <c:pt idx="4">
                  <c:v>PD</c:v>
                </c:pt>
                <c:pt idx="5">
                  <c:v>GPE</c:v>
                </c:pt>
                <c:pt idx="6">
                  <c:v>OS/SOS/IC</c:v>
                </c:pt>
                <c:pt idx="7">
                  <c:v>OR</c:v>
                </c:pt>
              </c:strCache>
            </c:strRef>
          </c:cat>
          <c:val>
            <c:numRef>
              <c:f>Sheet1!$C$2:$C$9</c:f>
              <c:numCache>
                <c:formatCode>0.0%</c:formatCode>
                <c:ptCount val="8"/>
                <c:pt idx="0">
                  <c:v>0.28799999999999998</c:v>
                </c:pt>
                <c:pt idx="1">
                  <c:v>0</c:v>
                </c:pt>
                <c:pt idx="2">
                  <c:v>0.80600000000000005</c:v>
                </c:pt>
                <c:pt idx="3">
                  <c:v>0.378</c:v>
                </c:pt>
                <c:pt idx="4">
                  <c:v>0.314</c:v>
                </c:pt>
                <c:pt idx="5">
                  <c:v>0.11600000000000001</c:v>
                </c:pt>
                <c:pt idx="6">
                  <c:v>0.26100000000000001</c:v>
                </c:pt>
                <c:pt idx="7">
                  <c:v>0.33600000000000002</c:v>
                </c:pt>
              </c:numCache>
            </c:numRef>
          </c:val>
        </c:ser>
        <c:ser>
          <c:idx val="2"/>
          <c:order val="2"/>
          <c:tx>
            <c:strRef>
              <c:f>Sheet1!$D$1</c:f>
              <c:strCache>
                <c:ptCount val="1"/>
                <c:pt idx="0">
                  <c:v>2012</c:v>
                </c:pt>
              </c:strCache>
            </c:strRef>
          </c:tx>
          <c:spPr>
            <a:solidFill>
              <a:schemeClr val="tx2"/>
            </a:solidFill>
            <a:ln>
              <a:solidFill>
                <a:schemeClr val="tx2"/>
              </a:solidFill>
            </a:ln>
          </c:spPr>
          <c:invertIfNegative val="0"/>
          <c:cat>
            <c:strRef>
              <c:f>Sheet1!$A$2:$A$9</c:f>
              <c:strCache>
                <c:ptCount val="8"/>
                <c:pt idx="0">
                  <c:v>FP</c:v>
                </c:pt>
                <c:pt idx="1">
                  <c:v>OM</c:v>
                </c:pt>
                <c:pt idx="2">
                  <c:v>GE</c:v>
                </c:pt>
                <c:pt idx="3">
                  <c:v>GPR</c:v>
                </c:pt>
                <c:pt idx="4">
                  <c:v>PD</c:v>
                </c:pt>
                <c:pt idx="5">
                  <c:v>GPE</c:v>
                </c:pt>
                <c:pt idx="6">
                  <c:v>OS/SOS/IC</c:v>
                </c:pt>
                <c:pt idx="7">
                  <c:v>OR</c:v>
                </c:pt>
              </c:strCache>
            </c:strRef>
          </c:cat>
          <c:val>
            <c:numRef>
              <c:f>Sheet1!$D$2:$D$9</c:f>
              <c:numCache>
                <c:formatCode>0.00%</c:formatCode>
                <c:ptCount val="8"/>
                <c:pt idx="0">
                  <c:v>0.1857</c:v>
                </c:pt>
                <c:pt idx="1">
                  <c:v>0</c:v>
                </c:pt>
                <c:pt idx="2">
                  <c:v>0.81479999999999997</c:v>
                </c:pt>
                <c:pt idx="3">
                  <c:v>0.89859999999999995</c:v>
                </c:pt>
                <c:pt idx="4">
                  <c:v>0.11559999999999999</c:v>
                </c:pt>
                <c:pt idx="5">
                  <c:v>0.15559999999999999</c:v>
                </c:pt>
                <c:pt idx="6">
                  <c:v>0.2324</c:v>
                </c:pt>
                <c:pt idx="7">
                  <c:v>0.17760000000000001</c:v>
                </c:pt>
              </c:numCache>
            </c:numRef>
          </c:val>
        </c:ser>
        <c:ser>
          <c:idx val="3"/>
          <c:order val="3"/>
          <c:tx>
            <c:strRef>
              <c:f>Sheet1!$E$1</c:f>
              <c:strCache>
                <c:ptCount val="1"/>
                <c:pt idx="0">
                  <c:v>2013</c:v>
                </c:pt>
              </c:strCache>
            </c:strRef>
          </c:tx>
          <c:spPr>
            <a:solidFill>
              <a:schemeClr val="tx2">
                <a:lumMod val="20000"/>
                <a:lumOff val="80000"/>
              </a:schemeClr>
            </a:solidFill>
            <a:ln>
              <a:solidFill>
                <a:schemeClr val="tx2">
                  <a:lumMod val="20000"/>
                  <a:lumOff val="80000"/>
                </a:schemeClr>
              </a:solidFill>
            </a:ln>
          </c:spPr>
          <c:invertIfNegative val="0"/>
          <c:cat>
            <c:strRef>
              <c:f>Sheet1!$A$2:$A$9</c:f>
              <c:strCache>
                <c:ptCount val="8"/>
                <c:pt idx="0">
                  <c:v>FP</c:v>
                </c:pt>
                <c:pt idx="1">
                  <c:v>OM</c:v>
                </c:pt>
                <c:pt idx="2">
                  <c:v>GE</c:v>
                </c:pt>
                <c:pt idx="3">
                  <c:v>GPR</c:v>
                </c:pt>
                <c:pt idx="4">
                  <c:v>PD</c:v>
                </c:pt>
                <c:pt idx="5">
                  <c:v>GPE</c:v>
                </c:pt>
                <c:pt idx="6">
                  <c:v>OS/SOS/IC</c:v>
                </c:pt>
                <c:pt idx="7">
                  <c:v>OR</c:v>
                </c:pt>
              </c:strCache>
            </c:strRef>
          </c:cat>
          <c:val>
            <c:numRef>
              <c:f>Sheet1!$E$2:$E$9</c:f>
              <c:numCache>
                <c:formatCode>0.0%</c:formatCode>
                <c:ptCount val="8"/>
                <c:pt idx="0">
                  <c:v>0.56299999999999994</c:v>
                </c:pt>
                <c:pt idx="1">
                  <c:v>0.94399999999999995</c:v>
                </c:pt>
                <c:pt idx="2">
                  <c:v>0.95899999999999996</c:v>
                </c:pt>
                <c:pt idx="4">
                  <c:v>0.61899999999999999</c:v>
                </c:pt>
                <c:pt idx="5">
                  <c:v>0.49299999999999999</c:v>
                </c:pt>
              </c:numCache>
            </c:numRef>
          </c:val>
        </c:ser>
        <c:dLbls>
          <c:showLegendKey val="0"/>
          <c:showVal val="0"/>
          <c:showCatName val="0"/>
          <c:showSerName val="0"/>
          <c:showPercent val="0"/>
          <c:showBubbleSize val="0"/>
        </c:dLbls>
        <c:gapWidth val="150"/>
        <c:axId val="75063680"/>
        <c:axId val="75065216"/>
      </c:barChart>
      <c:catAx>
        <c:axId val="75063680"/>
        <c:scaling>
          <c:orientation val="minMax"/>
        </c:scaling>
        <c:delete val="0"/>
        <c:axPos val="b"/>
        <c:majorTickMark val="out"/>
        <c:minorTickMark val="none"/>
        <c:tickLblPos val="nextTo"/>
        <c:crossAx val="75065216"/>
        <c:crosses val="autoZero"/>
        <c:auto val="1"/>
        <c:lblAlgn val="ctr"/>
        <c:lblOffset val="100"/>
        <c:noMultiLvlLbl val="0"/>
      </c:catAx>
      <c:valAx>
        <c:axId val="75065216"/>
        <c:scaling>
          <c:orientation val="minMax"/>
          <c:max val="1"/>
        </c:scaling>
        <c:delete val="0"/>
        <c:axPos val="l"/>
        <c:majorGridlines/>
        <c:numFmt formatCode="0.0%" sourceLinked="1"/>
        <c:majorTickMark val="out"/>
        <c:minorTickMark val="none"/>
        <c:tickLblPos val="nextTo"/>
        <c:crossAx val="75063680"/>
        <c:crosses val="autoZero"/>
        <c:crossBetween val="between"/>
        <c:majorUnit val="0.2"/>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Type of Additional Comments (2011-2013)</a:t>
            </a:r>
          </a:p>
        </c:rich>
      </c:tx>
      <c:overlay val="0"/>
    </c:title>
    <c:autoTitleDeleted val="0"/>
    <c:plotArea>
      <c:layout/>
      <c:barChart>
        <c:barDir val="col"/>
        <c:grouping val="clustered"/>
        <c:varyColors val="0"/>
        <c:ser>
          <c:idx val="0"/>
          <c:order val="0"/>
          <c:tx>
            <c:strRef>
              <c:f>Sheet1!$B$1</c:f>
              <c:strCache>
                <c:ptCount val="1"/>
                <c:pt idx="0">
                  <c:v>2011</c:v>
                </c:pt>
              </c:strCache>
            </c:strRef>
          </c:tx>
          <c:spPr>
            <a:solidFill>
              <a:schemeClr val="accent3"/>
            </a:solidFill>
            <a:ln>
              <a:solidFill>
                <a:schemeClr val="accent3"/>
              </a:solidFill>
            </a:ln>
          </c:spPr>
          <c:invertIfNegative val="0"/>
          <c:cat>
            <c:strRef>
              <c:f>Sheet1!$A$2:$A$3</c:f>
              <c:strCache>
                <c:ptCount val="2"/>
                <c:pt idx="0">
                  <c:v>Positive</c:v>
                </c:pt>
                <c:pt idx="1">
                  <c:v>Concerns/Suggestions</c:v>
                </c:pt>
              </c:strCache>
            </c:strRef>
          </c:cat>
          <c:val>
            <c:numRef>
              <c:f>Sheet1!$B$2:$B$3</c:f>
              <c:numCache>
                <c:formatCode>0.0%</c:formatCode>
                <c:ptCount val="2"/>
                <c:pt idx="0">
                  <c:v>0.82599999999999996</c:v>
                </c:pt>
                <c:pt idx="1">
                  <c:v>0.17399999999999999</c:v>
                </c:pt>
              </c:numCache>
            </c:numRef>
          </c:val>
        </c:ser>
        <c:ser>
          <c:idx val="1"/>
          <c:order val="1"/>
          <c:tx>
            <c:strRef>
              <c:f>Sheet1!$C$1</c:f>
              <c:strCache>
                <c:ptCount val="1"/>
                <c:pt idx="0">
                  <c:v>2012</c:v>
                </c:pt>
              </c:strCache>
            </c:strRef>
          </c:tx>
          <c:spPr>
            <a:solidFill>
              <a:schemeClr val="tx2"/>
            </a:solidFill>
            <a:ln>
              <a:solidFill>
                <a:schemeClr val="tx2"/>
              </a:solidFill>
            </a:ln>
          </c:spPr>
          <c:invertIfNegative val="0"/>
          <c:cat>
            <c:strRef>
              <c:f>Sheet1!$A$2:$A$3</c:f>
              <c:strCache>
                <c:ptCount val="2"/>
                <c:pt idx="0">
                  <c:v>Positive</c:v>
                </c:pt>
                <c:pt idx="1">
                  <c:v>Concerns/Suggestions</c:v>
                </c:pt>
              </c:strCache>
            </c:strRef>
          </c:cat>
          <c:val>
            <c:numRef>
              <c:f>Sheet1!$C$2:$C$3</c:f>
              <c:numCache>
                <c:formatCode>0.0%</c:formatCode>
                <c:ptCount val="2"/>
                <c:pt idx="0">
                  <c:v>0.81699999999999995</c:v>
                </c:pt>
                <c:pt idx="1">
                  <c:v>0.183</c:v>
                </c:pt>
              </c:numCache>
            </c:numRef>
          </c:val>
        </c:ser>
        <c:ser>
          <c:idx val="2"/>
          <c:order val="2"/>
          <c:tx>
            <c:strRef>
              <c:f>Sheet1!$D$1</c:f>
              <c:strCache>
                <c:ptCount val="1"/>
                <c:pt idx="0">
                  <c:v>2013</c:v>
                </c:pt>
              </c:strCache>
            </c:strRef>
          </c:tx>
          <c:spPr>
            <a:solidFill>
              <a:schemeClr val="tx2">
                <a:lumMod val="20000"/>
                <a:lumOff val="80000"/>
              </a:schemeClr>
            </a:solidFill>
            <a:ln>
              <a:solidFill>
                <a:schemeClr val="tx2">
                  <a:lumMod val="20000"/>
                  <a:lumOff val="80000"/>
                </a:schemeClr>
              </a:solidFill>
            </a:ln>
          </c:spPr>
          <c:invertIfNegative val="0"/>
          <c:cat>
            <c:strRef>
              <c:f>Sheet1!$A$2:$A$3</c:f>
              <c:strCache>
                <c:ptCount val="2"/>
                <c:pt idx="0">
                  <c:v>Positive</c:v>
                </c:pt>
                <c:pt idx="1">
                  <c:v>Concerns/Suggestions</c:v>
                </c:pt>
              </c:strCache>
            </c:strRef>
          </c:cat>
          <c:val>
            <c:numRef>
              <c:f>Sheet1!$D$2:$D$3</c:f>
              <c:numCache>
                <c:formatCode>0.00%</c:formatCode>
                <c:ptCount val="2"/>
                <c:pt idx="0">
                  <c:v>0.84499999999999997</c:v>
                </c:pt>
                <c:pt idx="1">
                  <c:v>0.155</c:v>
                </c:pt>
              </c:numCache>
            </c:numRef>
          </c:val>
        </c:ser>
        <c:dLbls>
          <c:showLegendKey val="0"/>
          <c:showVal val="0"/>
          <c:showCatName val="0"/>
          <c:showSerName val="0"/>
          <c:showPercent val="0"/>
          <c:showBubbleSize val="0"/>
        </c:dLbls>
        <c:gapWidth val="150"/>
        <c:axId val="116475776"/>
        <c:axId val="116477312"/>
      </c:barChart>
      <c:catAx>
        <c:axId val="116475776"/>
        <c:scaling>
          <c:orientation val="minMax"/>
        </c:scaling>
        <c:delete val="0"/>
        <c:axPos val="b"/>
        <c:majorTickMark val="out"/>
        <c:minorTickMark val="none"/>
        <c:tickLblPos val="nextTo"/>
        <c:crossAx val="116477312"/>
        <c:crosses val="autoZero"/>
        <c:auto val="1"/>
        <c:lblAlgn val="ctr"/>
        <c:lblOffset val="100"/>
        <c:noMultiLvlLbl val="0"/>
      </c:catAx>
      <c:valAx>
        <c:axId val="116477312"/>
        <c:scaling>
          <c:orientation val="minMax"/>
        </c:scaling>
        <c:delete val="0"/>
        <c:axPos val="l"/>
        <c:majorGridlines/>
        <c:numFmt formatCode="0.0%" sourceLinked="1"/>
        <c:majorTickMark val="out"/>
        <c:minorTickMark val="none"/>
        <c:tickLblPos val="nextTo"/>
        <c:crossAx val="116475776"/>
        <c:crosses val="autoZero"/>
        <c:crossBetween val="between"/>
        <c:majorUnit val="0.2"/>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Response</a:t>
            </a:r>
            <a:r>
              <a:rPr lang="en-US" baseline="0"/>
              <a:t> by Specialty Clinics</a:t>
            </a:r>
            <a:endParaRPr lang="en-US"/>
          </a:p>
        </c:rich>
      </c:tx>
      <c:overlay val="0"/>
    </c:title>
    <c:autoTitleDeleted val="0"/>
    <c:plotArea>
      <c:layout/>
      <c:barChart>
        <c:barDir val="col"/>
        <c:grouping val="clustered"/>
        <c:varyColors val="0"/>
        <c:ser>
          <c:idx val="0"/>
          <c:order val="0"/>
          <c:tx>
            <c:strRef>
              <c:f>Sheet1!$B$1</c:f>
              <c:strCache>
                <c:ptCount val="1"/>
                <c:pt idx="0">
                  <c:v>2009</c:v>
                </c:pt>
              </c:strCache>
            </c:strRef>
          </c:tx>
          <c:invertIfNegative val="0"/>
          <c:cat>
            <c:strRef>
              <c:f>Sheet1!$A$2:$A$14</c:f>
              <c:strCache>
                <c:ptCount val="13"/>
                <c:pt idx="0">
                  <c:v>FP</c:v>
                </c:pt>
                <c:pt idx="1">
                  <c:v>OR</c:v>
                </c:pt>
                <c:pt idx="2">
                  <c:v>PD</c:v>
                </c:pt>
                <c:pt idx="3">
                  <c:v>GE</c:v>
                </c:pt>
                <c:pt idx="4">
                  <c:v>GPR</c:v>
                </c:pt>
                <c:pt idx="5">
                  <c:v>OM</c:v>
                </c:pt>
                <c:pt idx="6">
                  <c:v>IC</c:v>
                </c:pt>
                <c:pt idx="7">
                  <c:v>OS</c:v>
                </c:pt>
                <c:pt idx="8">
                  <c:v>GPE</c:v>
                </c:pt>
                <c:pt idx="9">
                  <c:v>EN</c:v>
                </c:pt>
                <c:pt idx="10">
                  <c:v>C</c:v>
                </c:pt>
                <c:pt idx="11">
                  <c:v>SOS</c:v>
                </c:pt>
                <c:pt idx="12">
                  <c:v>SP</c:v>
                </c:pt>
              </c:strCache>
            </c:strRef>
          </c:cat>
          <c:val>
            <c:numRef>
              <c:f>Sheet1!$B$2:$B$14</c:f>
              <c:numCache>
                <c:formatCode>General</c:formatCode>
                <c:ptCount val="13"/>
                <c:pt idx="0">
                  <c:v>54</c:v>
                </c:pt>
                <c:pt idx="1">
                  <c:v>36</c:v>
                </c:pt>
                <c:pt idx="2">
                  <c:v>33</c:v>
                </c:pt>
                <c:pt idx="3">
                  <c:v>26</c:v>
                </c:pt>
                <c:pt idx="4">
                  <c:v>6</c:v>
                </c:pt>
                <c:pt idx="5">
                  <c:v>12</c:v>
                </c:pt>
                <c:pt idx="6">
                  <c:v>15</c:v>
                </c:pt>
                <c:pt idx="7">
                  <c:v>44</c:v>
                </c:pt>
                <c:pt idx="8">
                  <c:v>42</c:v>
                </c:pt>
                <c:pt idx="9">
                  <c:v>7</c:v>
                </c:pt>
                <c:pt idx="10">
                  <c:v>0</c:v>
                </c:pt>
              </c:numCache>
            </c:numRef>
          </c:val>
        </c:ser>
        <c:ser>
          <c:idx val="1"/>
          <c:order val="1"/>
          <c:tx>
            <c:strRef>
              <c:f>Sheet1!$C$1</c:f>
              <c:strCache>
                <c:ptCount val="1"/>
                <c:pt idx="0">
                  <c:v>2010</c:v>
                </c:pt>
              </c:strCache>
            </c:strRef>
          </c:tx>
          <c:spPr>
            <a:solidFill>
              <a:schemeClr val="accent6"/>
            </a:solidFill>
            <a:ln>
              <a:solidFill>
                <a:schemeClr val="accent6"/>
              </a:solidFill>
            </a:ln>
          </c:spPr>
          <c:invertIfNegative val="0"/>
          <c:cat>
            <c:strRef>
              <c:f>Sheet1!$A$2:$A$14</c:f>
              <c:strCache>
                <c:ptCount val="13"/>
                <c:pt idx="0">
                  <c:v>FP</c:v>
                </c:pt>
                <c:pt idx="1">
                  <c:v>OR</c:v>
                </c:pt>
                <c:pt idx="2">
                  <c:v>PD</c:v>
                </c:pt>
                <c:pt idx="3">
                  <c:v>GE</c:v>
                </c:pt>
                <c:pt idx="4">
                  <c:v>GPR</c:v>
                </c:pt>
                <c:pt idx="5">
                  <c:v>OM</c:v>
                </c:pt>
                <c:pt idx="6">
                  <c:v>IC</c:v>
                </c:pt>
                <c:pt idx="7">
                  <c:v>OS</c:v>
                </c:pt>
                <c:pt idx="8">
                  <c:v>GPE</c:v>
                </c:pt>
                <c:pt idx="9">
                  <c:v>EN</c:v>
                </c:pt>
                <c:pt idx="10">
                  <c:v>C</c:v>
                </c:pt>
                <c:pt idx="11">
                  <c:v>SOS</c:v>
                </c:pt>
                <c:pt idx="12">
                  <c:v>SP</c:v>
                </c:pt>
              </c:strCache>
            </c:strRef>
          </c:cat>
          <c:val>
            <c:numRef>
              <c:f>Sheet1!$C$2:$C$14</c:f>
              <c:numCache>
                <c:formatCode>General</c:formatCode>
                <c:ptCount val="13"/>
                <c:pt idx="0">
                  <c:v>185</c:v>
                </c:pt>
                <c:pt idx="1">
                  <c:v>111</c:v>
                </c:pt>
                <c:pt idx="2">
                  <c:v>47</c:v>
                </c:pt>
                <c:pt idx="3">
                  <c:v>78</c:v>
                </c:pt>
                <c:pt idx="4">
                  <c:v>20</c:v>
                </c:pt>
                <c:pt idx="5">
                  <c:v>35</c:v>
                </c:pt>
                <c:pt idx="6">
                  <c:v>15</c:v>
                </c:pt>
                <c:pt idx="7">
                  <c:v>0</c:v>
                </c:pt>
                <c:pt idx="8">
                  <c:v>13</c:v>
                </c:pt>
                <c:pt idx="9">
                  <c:v>17</c:v>
                </c:pt>
                <c:pt idx="10">
                  <c:v>0</c:v>
                </c:pt>
                <c:pt idx="11">
                  <c:v>24</c:v>
                </c:pt>
              </c:numCache>
            </c:numRef>
          </c:val>
        </c:ser>
        <c:ser>
          <c:idx val="2"/>
          <c:order val="2"/>
          <c:tx>
            <c:strRef>
              <c:f>Sheet1!$D$1</c:f>
              <c:strCache>
                <c:ptCount val="1"/>
                <c:pt idx="0">
                  <c:v>2011</c:v>
                </c:pt>
              </c:strCache>
            </c:strRef>
          </c:tx>
          <c:invertIfNegative val="0"/>
          <c:cat>
            <c:strRef>
              <c:f>Sheet1!$A$2:$A$14</c:f>
              <c:strCache>
                <c:ptCount val="13"/>
                <c:pt idx="0">
                  <c:v>FP</c:v>
                </c:pt>
                <c:pt idx="1">
                  <c:v>OR</c:v>
                </c:pt>
                <c:pt idx="2">
                  <c:v>PD</c:v>
                </c:pt>
                <c:pt idx="3">
                  <c:v>GE</c:v>
                </c:pt>
                <c:pt idx="4">
                  <c:v>GPR</c:v>
                </c:pt>
                <c:pt idx="5">
                  <c:v>OM</c:v>
                </c:pt>
                <c:pt idx="6">
                  <c:v>IC</c:v>
                </c:pt>
                <c:pt idx="7">
                  <c:v>OS</c:v>
                </c:pt>
                <c:pt idx="8">
                  <c:v>GPE</c:v>
                </c:pt>
                <c:pt idx="9">
                  <c:v>EN</c:v>
                </c:pt>
                <c:pt idx="10">
                  <c:v>C</c:v>
                </c:pt>
                <c:pt idx="11">
                  <c:v>SOS</c:v>
                </c:pt>
                <c:pt idx="12">
                  <c:v>SP</c:v>
                </c:pt>
              </c:strCache>
            </c:strRef>
          </c:cat>
          <c:val>
            <c:numRef>
              <c:f>Sheet1!$D$2:$D$14</c:f>
              <c:numCache>
                <c:formatCode>General</c:formatCode>
                <c:ptCount val="13"/>
                <c:pt idx="0">
                  <c:v>88</c:v>
                </c:pt>
                <c:pt idx="1">
                  <c:v>50</c:v>
                </c:pt>
                <c:pt idx="2">
                  <c:v>85</c:v>
                </c:pt>
                <c:pt idx="3">
                  <c:v>58</c:v>
                </c:pt>
                <c:pt idx="4">
                  <c:v>31</c:v>
                </c:pt>
                <c:pt idx="5">
                  <c:v>0</c:v>
                </c:pt>
                <c:pt idx="6">
                  <c:v>9</c:v>
                </c:pt>
                <c:pt idx="7">
                  <c:v>25</c:v>
                </c:pt>
                <c:pt idx="8">
                  <c:v>15</c:v>
                </c:pt>
                <c:pt idx="9">
                  <c:v>0</c:v>
                </c:pt>
                <c:pt idx="10">
                  <c:v>0</c:v>
                </c:pt>
                <c:pt idx="11">
                  <c:v>42</c:v>
                </c:pt>
                <c:pt idx="12">
                  <c:v>37</c:v>
                </c:pt>
              </c:numCache>
            </c:numRef>
          </c:val>
        </c:ser>
        <c:ser>
          <c:idx val="3"/>
          <c:order val="3"/>
          <c:tx>
            <c:strRef>
              <c:f>Sheet1!$E$1</c:f>
              <c:strCache>
                <c:ptCount val="1"/>
                <c:pt idx="0">
                  <c:v>2012</c:v>
                </c:pt>
              </c:strCache>
            </c:strRef>
          </c:tx>
          <c:spPr>
            <a:solidFill>
              <a:schemeClr val="accent1">
                <a:lumMod val="75000"/>
              </a:schemeClr>
            </a:solidFill>
            <a:ln>
              <a:solidFill>
                <a:schemeClr val="accent1">
                  <a:lumMod val="75000"/>
                </a:schemeClr>
              </a:solidFill>
            </a:ln>
          </c:spPr>
          <c:invertIfNegative val="0"/>
          <c:cat>
            <c:strRef>
              <c:f>Sheet1!$A$2:$A$14</c:f>
              <c:strCache>
                <c:ptCount val="13"/>
                <c:pt idx="0">
                  <c:v>FP</c:v>
                </c:pt>
                <c:pt idx="1">
                  <c:v>OR</c:v>
                </c:pt>
                <c:pt idx="2">
                  <c:v>PD</c:v>
                </c:pt>
                <c:pt idx="3">
                  <c:v>GE</c:v>
                </c:pt>
                <c:pt idx="4">
                  <c:v>GPR</c:v>
                </c:pt>
                <c:pt idx="5">
                  <c:v>OM</c:v>
                </c:pt>
                <c:pt idx="6">
                  <c:v>IC</c:v>
                </c:pt>
                <c:pt idx="7">
                  <c:v>OS</c:v>
                </c:pt>
                <c:pt idx="8">
                  <c:v>GPE</c:v>
                </c:pt>
                <c:pt idx="9">
                  <c:v>EN</c:v>
                </c:pt>
                <c:pt idx="10">
                  <c:v>C</c:v>
                </c:pt>
                <c:pt idx="11">
                  <c:v>SOS</c:v>
                </c:pt>
                <c:pt idx="12">
                  <c:v>SP</c:v>
                </c:pt>
              </c:strCache>
            </c:strRef>
          </c:cat>
          <c:val>
            <c:numRef>
              <c:f>Sheet1!$E$2:$E$14</c:f>
              <c:numCache>
                <c:formatCode>General</c:formatCode>
                <c:ptCount val="13"/>
                <c:pt idx="0">
                  <c:v>42</c:v>
                </c:pt>
                <c:pt idx="1">
                  <c:v>77</c:v>
                </c:pt>
                <c:pt idx="2">
                  <c:v>49</c:v>
                </c:pt>
                <c:pt idx="3">
                  <c:v>87</c:v>
                </c:pt>
                <c:pt idx="4">
                  <c:v>102</c:v>
                </c:pt>
                <c:pt idx="5">
                  <c:v>0</c:v>
                </c:pt>
                <c:pt idx="6">
                  <c:v>0</c:v>
                </c:pt>
                <c:pt idx="7">
                  <c:v>39</c:v>
                </c:pt>
                <c:pt idx="8">
                  <c:v>39</c:v>
                </c:pt>
                <c:pt idx="9">
                  <c:v>0</c:v>
                </c:pt>
                <c:pt idx="10">
                  <c:v>0</c:v>
                </c:pt>
                <c:pt idx="11">
                  <c:v>24</c:v>
                </c:pt>
                <c:pt idx="12">
                  <c:v>37</c:v>
                </c:pt>
              </c:numCache>
            </c:numRef>
          </c:val>
        </c:ser>
        <c:ser>
          <c:idx val="4"/>
          <c:order val="4"/>
          <c:tx>
            <c:strRef>
              <c:f>Sheet1!$F$1</c:f>
              <c:strCache>
                <c:ptCount val="1"/>
                <c:pt idx="0">
                  <c:v>2013</c:v>
                </c:pt>
              </c:strCache>
            </c:strRef>
          </c:tx>
          <c:spPr>
            <a:solidFill>
              <a:schemeClr val="tx2">
                <a:lumMod val="20000"/>
                <a:lumOff val="80000"/>
              </a:schemeClr>
            </a:solidFill>
            <a:ln>
              <a:solidFill>
                <a:schemeClr val="tx2">
                  <a:lumMod val="20000"/>
                  <a:lumOff val="80000"/>
                </a:schemeClr>
              </a:solidFill>
            </a:ln>
          </c:spPr>
          <c:invertIfNegative val="0"/>
          <c:cat>
            <c:strRef>
              <c:f>Sheet1!$A$2:$A$14</c:f>
              <c:strCache>
                <c:ptCount val="13"/>
                <c:pt idx="0">
                  <c:v>FP</c:v>
                </c:pt>
                <c:pt idx="1">
                  <c:v>OR</c:v>
                </c:pt>
                <c:pt idx="2">
                  <c:v>PD</c:v>
                </c:pt>
                <c:pt idx="3">
                  <c:v>GE</c:v>
                </c:pt>
                <c:pt idx="4">
                  <c:v>GPR</c:v>
                </c:pt>
                <c:pt idx="5">
                  <c:v>OM</c:v>
                </c:pt>
                <c:pt idx="6">
                  <c:v>IC</c:v>
                </c:pt>
                <c:pt idx="7">
                  <c:v>OS</c:v>
                </c:pt>
                <c:pt idx="8">
                  <c:v>GPE</c:v>
                </c:pt>
                <c:pt idx="9">
                  <c:v>EN</c:v>
                </c:pt>
                <c:pt idx="10">
                  <c:v>C</c:v>
                </c:pt>
                <c:pt idx="11">
                  <c:v>SOS</c:v>
                </c:pt>
                <c:pt idx="12">
                  <c:v>SP</c:v>
                </c:pt>
              </c:strCache>
            </c:strRef>
          </c:cat>
          <c:val>
            <c:numRef>
              <c:f>Sheet1!$F$2:$F$14</c:f>
              <c:numCache>
                <c:formatCode>General</c:formatCode>
                <c:ptCount val="13"/>
                <c:pt idx="0">
                  <c:v>148</c:v>
                </c:pt>
                <c:pt idx="1">
                  <c:v>91</c:v>
                </c:pt>
                <c:pt idx="2">
                  <c:v>139</c:v>
                </c:pt>
                <c:pt idx="3">
                  <c:v>59</c:v>
                </c:pt>
                <c:pt idx="4">
                  <c:v>89</c:v>
                </c:pt>
                <c:pt idx="5">
                  <c:v>31</c:v>
                </c:pt>
                <c:pt idx="6">
                  <c:v>31</c:v>
                </c:pt>
                <c:pt idx="7">
                  <c:v>152</c:v>
                </c:pt>
                <c:pt idx="8">
                  <c:v>69</c:v>
                </c:pt>
                <c:pt idx="9">
                  <c:v>10</c:v>
                </c:pt>
                <c:pt idx="10">
                  <c:v>24</c:v>
                </c:pt>
                <c:pt idx="11">
                  <c:v>38</c:v>
                </c:pt>
                <c:pt idx="12">
                  <c:v>63</c:v>
                </c:pt>
              </c:numCache>
            </c:numRef>
          </c:val>
        </c:ser>
        <c:dLbls>
          <c:showLegendKey val="0"/>
          <c:showVal val="0"/>
          <c:showCatName val="0"/>
          <c:showSerName val="0"/>
          <c:showPercent val="0"/>
          <c:showBubbleSize val="0"/>
        </c:dLbls>
        <c:gapWidth val="150"/>
        <c:axId val="75080832"/>
        <c:axId val="75082368"/>
      </c:barChart>
      <c:catAx>
        <c:axId val="75080832"/>
        <c:scaling>
          <c:orientation val="minMax"/>
        </c:scaling>
        <c:delete val="0"/>
        <c:axPos val="b"/>
        <c:numFmt formatCode="General" sourceLinked="1"/>
        <c:majorTickMark val="out"/>
        <c:minorTickMark val="none"/>
        <c:tickLblPos val="nextTo"/>
        <c:crossAx val="75082368"/>
        <c:crosses val="autoZero"/>
        <c:auto val="1"/>
        <c:lblAlgn val="ctr"/>
        <c:lblOffset val="100"/>
        <c:noMultiLvlLbl val="0"/>
      </c:catAx>
      <c:valAx>
        <c:axId val="75082368"/>
        <c:scaling>
          <c:orientation val="minMax"/>
        </c:scaling>
        <c:delete val="0"/>
        <c:axPos val="l"/>
        <c:majorGridlines/>
        <c:numFmt formatCode="General" sourceLinked="1"/>
        <c:majorTickMark val="out"/>
        <c:minorTickMark val="none"/>
        <c:tickLblPos val="nextTo"/>
        <c:crossAx val="75080832"/>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a:t>
            </a:r>
          </a:p>
        </c:rich>
      </c:tx>
      <c:overlay val="0"/>
    </c:title>
    <c:autoTitleDeleted val="0"/>
    <c:plotArea>
      <c:layout/>
      <c:barChart>
        <c:barDir val="col"/>
        <c:grouping val="clustered"/>
        <c:varyColors val="0"/>
        <c:ser>
          <c:idx val="0"/>
          <c:order val="0"/>
          <c:tx>
            <c:strRef>
              <c:f>Sheet1!$B$1</c:f>
              <c:strCache>
                <c:ptCount val="1"/>
                <c:pt idx="0">
                  <c:v>2009</c:v>
                </c:pt>
              </c:strCache>
            </c:strRef>
          </c:tx>
          <c:invertIfNegative val="0"/>
          <c:cat>
            <c:strRef>
              <c:f>Sheet1!$A$2:$A$5</c:f>
              <c:strCache>
                <c:ptCount val="4"/>
                <c:pt idx="0">
                  <c:v>20 or Under</c:v>
                </c:pt>
                <c:pt idx="1">
                  <c:v>21 to 40</c:v>
                </c:pt>
                <c:pt idx="2">
                  <c:v>41 to 60</c:v>
                </c:pt>
                <c:pt idx="3">
                  <c:v>Over 60</c:v>
                </c:pt>
              </c:strCache>
            </c:strRef>
          </c:cat>
          <c:val>
            <c:numRef>
              <c:f>Sheet1!$B$2:$B$5</c:f>
              <c:numCache>
                <c:formatCode>0.0%</c:formatCode>
                <c:ptCount val="4"/>
                <c:pt idx="0">
                  <c:v>0.123</c:v>
                </c:pt>
                <c:pt idx="1">
                  <c:v>0.23599999999999999</c:v>
                </c:pt>
                <c:pt idx="2">
                  <c:v>0.27800000000000002</c:v>
                </c:pt>
                <c:pt idx="3">
                  <c:v>0.33400000000000002</c:v>
                </c:pt>
              </c:numCache>
            </c:numRef>
          </c:val>
        </c:ser>
        <c:ser>
          <c:idx val="1"/>
          <c:order val="1"/>
          <c:tx>
            <c:strRef>
              <c:f>Sheet1!$C$1</c:f>
              <c:strCache>
                <c:ptCount val="1"/>
                <c:pt idx="0">
                  <c:v>2010</c:v>
                </c:pt>
              </c:strCache>
            </c:strRef>
          </c:tx>
          <c:spPr>
            <a:solidFill>
              <a:schemeClr val="accent6"/>
            </a:solidFill>
            <a:ln>
              <a:solidFill>
                <a:schemeClr val="accent6"/>
              </a:solidFill>
            </a:ln>
          </c:spPr>
          <c:invertIfNegative val="0"/>
          <c:cat>
            <c:strRef>
              <c:f>Sheet1!$A$2:$A$5</c:f>
              <c:strCache>
                <c:ptCount val="4"/>
                <c:pt idx="0">
                  <c:v>20 or Under</c:v>
                </c:pt>
                <c:pt idx="1">
                  <c:v>21 to 40</c:v>
                </c:pt>
                <c:pt idx="2">
                  <c:v>41 to 60</c:v>
                </c:pt>
                <c:pt idx="3">
                  <c:v>Over 60</c:v>
                </c:pt>
              </c:strCache>
            </c:strRef>
          </c:cat>
          <c:val>
            <c:numRef>
              <c:f>Sheet1!$C$2:$C$5</c:f>
              <c:numCache>
                <c:formatCode>0.0%</c:formatCode>
                <c:ptCount val="4"/>
                <c:pt idx="0">
                  <c:v>0.14699999999999999</c:v>
                </c:pt>
                <c:pt idx="1">
                  <c:v>0.27200000000000002</c:v>
                </c:pt>
                <c:pt idx="2">
                  <c:v>0.29299999999999998</c:v>
                </c:pt>
                <c:pt idx="3">
                  <c:v>0.28799999999999998</c:v>
                </c:pt>
              </c:numCache>
            </c:numRef>
          </c:val>
        </c:ser>
        <c:ser>
          <c:idx val="2"/>
          <c:order val="2"/>
          <c:tx>
            <c:strRef>
              <c:f>Sheet1!$D$1</c:f>
              <c:strCache>
                <c:ptCount val="1"/>
                <c:pt idx="0">
                  <c:v>2011</c:v>
                </c:pt>
              </c:strCache>
            </c:strRef>
          </c:tx>
          <c:invertIfNegative val="0"/>
          <c:cat>
            <c:strRef>
              <c:f>Sheet1!$A$2:$A$5</c:f>
              <c:strCache>
                <c:ptCount val="4"/>
                <c:pt idx="0">
                  <c:v>20 or Under</c:v>
                </c:pt>
                <c:pt idx="1">
                  <c:v>21 to 40</c:v>
                </c:pt>
                <c:pt idx="2">
                  <c:v>41 to 60</c:v>
                </c:pt>
                <c:pt idx="3">
                  <c:v>Over 60</c:v>
                </c:pt>
              </c:strCache>
            </c:strRef>
          </c:cat>
          <c:val>
            <c:numRef>
              <c:f>Sheet1!$D$2:$D$5</c:f>
              <c:numCache>
                <c:formatCode>0.0%</c:formatCode>
                <c:ptCount val="4"/>
                <c:pt idx="0">
                  <c:v>0.191</c:v>
                </c:pt>
                <c:pt idx="1">
                  <c:v>0.185</c:v>
                </c:pt>
                <c:pt idx="2">
                  <c:v>0.28599999999999998</c:v>
                </c:pt>
                <c:pt idx="3">
                  <c:v>0.33900000000000002</c:v>
                </c:pt>
              </c:numCache>
            </c:numRef>
          </c:val>
        </c:ser>
        <c:ser>
          <c:idx val="3"/>
          <c:order val="3"/>
          <c:tx>
            <c:strRef>
              <c:f>Sheet1!$E$1</c:f>
              <c:strCache>
                <c:ptCount val="1"/>
                <c:pt idx="0">
                  <c:v>2012</c:v>
                </c:pt>
              </c:strCache>
            </c:strRef>
          </c:tx>
          <c:spPr>
            <a:solidFill>
              <a:schemeClr val="tx2"/>
            </a:solidFill>
            <a:ln>
              <a:solidFill>
                <a:schemeClr val="tx2"/>
              </a:solidFill>
            </a:ln>
          </c:spPr>
          <c:invertIfNegative val="0"/>
          <c:cat>
            <c:strRef>
              <c:f>Sheet1!$A$2:$A$5</c:f>
              <c:strCache>
                <c:ptCount val="4"/>
                <c:pt idx="0">
                  <c:v>20 or Under</c:v>
                </c:pt>
                <c:pt idx="1">
                  <c:v>21 to 40</c:v>
                </c:pt>
                <c:pt idx="2">
                  <c:v>41 to 60</c:v>
                </c:pt>
                <c:pt idx="3">
                  <c:v>Over 60</c:v>
                </c:pt>
              </c:strCache>
            </c:strRef>
          </c:cat>
          <c:val>
            <c:numRef>
              <c:f>Sheet1!$E$2:$E$5</c:f>
              <c:numCache>
                <c:formatCode>0.0%</c:formatCode>
                <c:ptCount val="4"/>
                <c:pt idx="0">
                  <c:v>0.187</c:v>
                </c:pt>
                <c:pt idx="1">
                  <c:v>0.192</c:v>
                </c:pt>
                <c:pt idx="2">
                  <c:v>0.27300000000000002</c:v>
                </c:pt>
                <c:pt idx="3">
                  <c:v>0.34899999999999998</c:v>
                </c:pt>
              </c:numCache>
            </c:numRef>
          </c:val>
        </c:ser>
        <c:ser>
          <c:idx val="4"/>
          <c:order val="4"/>
          <c:tx>
            <c:strRef>
              <c:f>Sheet1!$F$1</c:f>
              <c:strCache>
                <c:ptCount val="1"/>
                <c:pt idx="0">
                  <c:v>2013</c:v>
                </c:pt>
              </c:strCache>
            </c:strRef>
          </c:tx>
          <c:spPr>
            <a:solidFill>
              <a:schemeClr val="accent1">
                <a:lumMod val="20000"/>
                <a:lumOff val="80000"/>
              </a:schemeClr>
            </a:solidFill>
            <a:ln>
              <a:solidFill>
                <a:schemeClr val="accent1">
                  <a:lumMod val="20000"/>
                  <a:lumOff val="80000"/>
                </a:schemeClr>
              </a:solidFill>
            </a:ln>
          </c:spPr>
          <c:invertIfNegative val="0"/>
          <c:cat>
            <c:strRef>
              <c:f>Sheet1!$A$2:$A$5</c:f>
              <c:strCache>
                <c:ptCount val="4"/>
                <c:pt idx="0">
                  <c:v>20 or Under</c:v>
                </c:pt>
                <c:pt idx="1">
                  <c:v>21 to 40</c:v>
                </c:pt>
                <c:pt idx="2">
                  <c:v>41 to 60</c:v>
                </c:pt>
                <c:pt idx="3">
                  <c:v>Over 60</c:v>
                </c:pt>
              </c:strCache>
            </c:strRef>
          </c:cat>
          <c:val>
            <c:numRef>
              <c:f>Sheet1!$F$2:$F$5</c:f>
              <c:numCache>
                <c:formatCode>0.0%</c:formatCode>
                <c:ptCount val="4"/>
                <c:pt idx="0">
                  <c:v>0.184</c:v>
                </c:pt>
                <c:pt idx="1">
                  <c:v>0.20499999999999999</c:v>
                </c:pt>
                <c:pt idx="2">
                  <c:v>0.27200000000000002</c:v>
                </c:pt>
                <c:pt idx="3">
                  <c:v>0.34</c:v>
                </c:pt>
              </c:numCache>
            </c:numRef>
          </c:val>
        </c:ser>
        <c:dLbls>
          <c:showLegendKey val="0"/>
          <c:showVal val="0"/>
          <c:showCatName val="0"/>
          <c:showSerName val="0"/>
          <c:showPercent val="0"/>
          <c:showBubbleSize val="0"/>
        </c:dLbls>
        <c:gapWidth val="150"/>
        <c:axId val="95123328"/>
        <c:axId val="95124864"/>
      </c:barChart>
      <c:catAx>
        <c:axId val="95123328"/>
        <c:scaling>
          <c:orientation val="minMax"/>
        </c:scaling>
        <c:delete val="0"/>
        <c:axPos val="b"/>
        <c:majorTickMark val="out"/>
        <c:minorTickMark val="none"/>
        <c:tickLblPos val="nextTo"/>
        <c:crossAx val="95124864"/>
        <c:crosses val="autoZero"/>
        <c:auto val="1"/>
        <c:lblAlgn val="ctr"/>
        <c:lblOffset val="100"/>
        <c:noMultiLvlLbl val="0"/>
      </c:catAx>
      <c:valAx>
        <c:axId val="95124864"/>
        <c:scaling>
          <c:orientation val="minMax"/>
        </c:scaling>
        <c:delete val="0"/>
        <c:axPos val="l"/>
        <c:majorGridlines/>
        <c:numFmt formatCode="0.0%" sourceLinked="1"/>
        <c:majorTickMark val="out"/>
        <c:minorTickMark val="none"/>
        <c:tickLblPos val="nextTo"/>
        <c:crossAx val="95123328"/>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Gender</a:t>
            </a:r>
          </a:p>
        </c:rich>
      </c:tx>
      <c:overlay val="0"/>
    </c:title>
    <c:autoTitleDeleted val="0"/>
    <c:plotArea>
      <c:layout/>
      <c:barChart>
        <c:barDir val="col"/>
        <c:grouping val="clustered"/>
        <c:varyColors val="0"/>
        <c:ser>
          <c:idx val="0"/>
          <c:order val="0"/>
          <c:tx>
            <c:strRef>
              <c:f>Sheet1!$B$1</c:f>
              <c:strCache>
                <c:ptCount val="1"/>
                <c:pt idx="0">
                  <c:v>2009</c:v>
                </c:pt>
              </c:strCache>
            </c:strRef>
          </c:tx>
          <c:invertIfNegative val="0"/>
          <c:cat>
            <c:strRef>
              <c:f>Sheet1!$A$2:$A$3</c:f>
              <c:strCache>
                <c:ptCount val="2"/>
                <c:pt idx="0">
                  <c:v>Female</c:v>
                </c:pt>
                <c:pt idx="1">
                  <c:v>Male</c:v>
                </c:pt>
              </c:strCache>
            </c:strRef>
          </c:cat>
          <c:val>
            <c:numRef>
              <c:f>Sheet1!$B$2:$B$3</c:f>
              <c:numCache>
                <c:formatCode>0.0%</c:formatCode>
                <c:ptCount val="2"/>
                <c:pt idx="0">
                  <c:v>0.58499999999999996</c:v>
                </c:pt>
                <c:pt idx="1">
                  <c:v>0.41499999999999998</c:v>
                </c:pt>
              </c:numCache>
            </c:numRef>
          </c:val>
        </c:ser>
        <c:ser>
          <c:idx val="1"/>
          <c:order val="1"/>
          <c:tx>
            <c:strRef>
              <c:f>Sheet1!$C$1</c:f>
              <c:strCache>
                <c:ptCount val="1"/>
                <c:pt idx="0">
                  <c:v>2010</c:v>
                </c:pt>
              </c:strCache>
            </c:strRef>
          </c:tx>
          <c:spPr>
            <a:solidFill>
              <a:schemeClr val="accent6"/>
            </a:solidFill>
            <a:ln>
              <a:solidFill>
                <a:srgbClr val="F79646"/>
              </a:solidFill>
            </a:ln>
          </c:spPr>
          <c:invertIfNegative val="0"/>
          <c:cat>
            <c:strRef>
              <c:f>Sheet1!$A$2:$A$3</c:f>
              <c:strCache>
                <c:ptCount val="2"/>
                <c:pt idx="0">
                  <c:v>Female</c:v>
                </c:pt>
                <c:pt idx="1">
                  <c:v>Male</c:v>
                </c:pt>
              </c:strCache>
            </c:strRef>
          </c:cat>
          <c:val>
            <c:numRef>
              <c:f>Sheet1!$C$2:$C$3</c:f>
              <c:numCache>
                <c:formatCode>0.0%</c:formatCode>
                <c:ptCount val="2"/>
                <c:pt idx="0">
                  <c:v>0.60399999999999998</c:v>
                </c:pt>
                <c:pt idx="1">
                  <c:v>0.39600000000000002</c:v>
                </c:pt>
              </c:numCache>
            </c:numRef>
          </c:val>
        </c:ser>
        <c:ser>
          <c:idx val="2"/>
          <c:order val="2"/>
          <c:tx>
            <c:strRef>
              <c:f>Sheet1!$D$1</c:f>
              <c:strCache>
                <c:ptCount val="1"/>
                <c:pt idx="0">
                  <c:v>2011</c:v>
                </c:pt>
              </c:strCache>
            </c:strRef>
          </c:tx>
          <c:invertIfNegative val="0"/>
          <c:cat>
            <c:strRef>
              <c:f>Sheet1!$A$2:$A$3</c:f>
              <c:strCache>
                <c:ptCount val="2"/>
                <c:pt idx="0">
                  <c:v>Female</c:v>
                </c:pt>
                <c:pt idx="1">
                  <c:v>Male</c:v>
                </c:pt>
              </c:strCache>
            </c:strRef>
          </c:cat>
          <c:val>
            <c:numRef>
              <c:f>Sheet1!$D$2:$D$3</c:f>
              <c:numCache>
                <c:formatCode>0.0%</c:formatCode>
                <c:ptCount val="2"/>
                <c:pt idx="0">
                  <c:v>0.53700000000000003</c:v>
                </c:pt>
                <c:pt idx="1">
                  <c:v>0.46300000000000002</c:v>
                </c:pt>
              </c:numCache>
            </c:numRef>
          </c:val>
        </c:ser>
        <c:ser>
          <c:idx val="3"/>
          <c:order val="3"/>
          <c:tx>
            <c:strRef>
              <c:f>Sheet1!$E$1</c:f>
              <c:strCache>
                <c:ptCount val="1"/>
                <c:pt idx="0">
                  <c:v>2012</c:v>
                </c:pt>
              </c:strCache>
            </c:strRef>
          </c:tx>
          <c:spPr>
            <a:solidFill>
              <a:schemeClr val="tx2"/>
            </a:solidFill>
            <a:ln>
              <a:solidFill>
                <a:schemeClr val="tx2"/>
              </a:solidFill>
            </a:ln>
          </c:spPr>
          <c:invertIfNegative val="0"/>
          <c:cat>
            <c:strRef>
              <c:f>Sheet1!$A$2:$A$3</c:f>
              <c:strCache>
                <c:ptCount val="2"/>
                <c:pt idx="0">
                  <c:v>Female</c:v>
                </c:pt>
                <c:pt idx="1">
                  <c:v>Male</c:v>
                </c:pt>
              </c:strCache>
            </c:strRef>
          </c:cat>
          <c:val>
            <c:numRef>
              <c:f>Sheet1!$E$2:$E$3</c:f>
              <c:numCache>
                <c:formatCode>0.0%</c:formatCode>
                <c:ptCount val="2"/>
                <c:pt idx="0">
                  <c:v>0.57099999999999995</c:v>
                </c:pt>
                <c:pt idx="1">
                  <c:v>0.42899999999999999</c:v>
                </c:pt>
              </c:numCache>
            </c:numRef>
          </c:val>
        </c:ser>
        <c:ser>
          <c:idx val="4"/>
          <c:order val="4"/>
          <c:tx>
            <c:strRef>
              <c:f>Sheet1!$F$1</c:f>
              <c:strCache>
                <c:ptCount val="1"/>
                <c:pt idx="0">
                  <c:v>2013</c:v>
                </c:pt>
              </c:strCache>
            </c:strRef>
          </c:tx>
          <c:spPr>
            <a:solidFill>
              <a:schemeClr val="accent1">
                <a:lumMod val="20000"/>
                <a:lumOff val="80000"/>
              </a:schemeClr>
            </a:solidFill>
            <a:ln>
              <a:solidFill>
                <a:schemeClr val="accent1">
                  <a:lumMod val="20000"/>
                  <a:lumOff val="80000"/>
                </a:schemeClr>
              </a:solidFill>
            </a:ln>
          </c:spPr>
          <c:invertIfNegative val="0"/>
          <c:cat>
            <c:strRef>
              <c:f>Sheet1!$A$2:$A$3</c:f>
              <c:strCache>
                <c:ptCount val="2"/>
                <c:pt idx="0">
                  <c:v>Female</c:v>
                </c:pt>
                <c:pt idx="1">
                  <c:v>Male</c:v>
                </c:pt>
              </c:strCache>
            </c:strRef>
          </c:cat>
          <c:val>
            <c:numRef>
              <c:f>Sheet1!$F$2:$F$3</c:f>
              <c:numCache>
                <c:formatCode>0.0%</c:formatCode>
                <c:ptCount val="2"/>
                <c:pt idx="0">
                  <c:v>0.56200000000000006</c:v>
                </c:pt>
                <c:pt idx="1">
                  <c:v>0.438</c:v>
                </c:pt>
              </c:numCache>
            </c:numRef>
          </c:val>
        </c:ser>
        <c:dLbls>
          <c:showLegendKey val="0"/>
          <c:showVal val="0"/>
          <c:showCatName val="0"/>
          <c:showSerName val="0"/>
          <c:showPercent val="0"/>
          <c:showBubbleSize val="0"/>
        </c:dLbls>
        <c:gapWidth val="150"/>
        <c:axId val="112052864"/>
        <c:axId val="112054656"/>
      </c:barChart>
      <c:catAx>
        <c:axId val="112052864"/>
        <c:scaling>
          <c:orientation val="minMax"/>
        </c:scaling>
        <c:delete val="0"/>
        <c:axPos val="b"/>
        <c:majorTickMark val="out"/>
        <c:minorTickMark val="none"/>
        <c:tickLblPos val="nextTo"/>
        <c:crossAx val="112054656"/>
        <c:crosses val="autoZero"/>
        <c:auto val="1"/>
        <c:lblAlgn val="ctr"/>
        <c:lblOffset val="100"/>
        <c:noMultiLvlLbl val="0"/>
      </c:catAx>
      <c:valAx>
        <c:axId val="112054656"/>
        <c:scaling>
          <c:orientation val="minMax"/>
        </c:scaling>
        <c:delete val="0"/>
        <c:axPos val="l"/>
        <c:majorGridlines/>
        <c:numFmt formatCode="0.0%" sourceLinked="1"/>
        <c:majorTickMark val="out"/>
        <c:minorTickMark val="none"/>
        <c:tickLblPos val="nextTo"/>
        <c:crossAx val="112052864"/>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Race / Ethnicity</a:t>
            </a:r>
          </a:p>
        </c:rich>
      </c:tx>
      <c:overlay val="0"/>
    </c:title>
    <c:autoTitleDeleted val="0"/>
    <c:plotArea>
      <c:layout/>
      <c:barChart>
        <c:barDir val="col"/>
        <c:grouping val="clustered"/>
        <c:varyColors val="0"/>
        <c:ser>
          <c:idx val="0"/>
          <c:order val="0"/>
          <c:tx>
            <c:strRef>
              <c:f>Sheet1!$B$1</c:f>
              <c:strCache>
                <c:ptCount val="1"/>
                <c:pt idx="0">
                  <c:v>2009</c:v>
                </c:pt>
              </c:strCache>
            </c:strRef>
          </c:tx>
          <c:invertIfNegative val="0"/>
          <c:cat>
            <c:strRef>
              <c:f>Sheet1!$A$2:$A$6</c:f>
              <c:strCache>
                <c:ptCount val="5"/>
                <c:pt idx="0">
                  <c:v>White</c:v>
                </c:pt>
                <c:pt idx="1">
                  <c:v>African American</c:v>
                </c:pt>
                <c:pt idx="2">
                  <c:v>Hispanic</c:v>
                </c:pt>
                <c:pt idx="3">
                  <c:v>Asian</c:v>
                </c:pt>
                <c:pt idx="4">
                  <c:v>Other</c:v>
                </c:pt>
              </c:strCache>
            </c:strRef>
          </c:cat>
          <c:val>
            <c:numRef>
              <c:f>Sheet1!$B$2:$B$6</c:f>
              <c:numCache>
                <c:formatCode>0.0%</c:formatCode>
                <c:ptCount val="5"/>
                <c:pt idx="0">
                  <c:v>0.72899999999999998</c:v>
                </c:pt>
                <c:pt idx="1">
                  <c:v>0.13700000000000001</c:v>
                </c:pt>
                <c:pt idx="2">
                  <c:v>5.2999999999999999E-2</c:v>
                </c:pt>
                <c:pt idx="3">
                  <c:v>3.7999999999999999E-2</c:v>
                </c:pt>
                <c:pt idx="4">
                  <c:v>4.2999999999999997E-2</c:v>
                </c:pt>
              </c:numCache>
            </c:numRef>
          </c:val>
        </c:ser>
        <c:ser>
          <c:idx val="1"/>
          <c:order val="1"/>
          <c:tx>
            <c:strRef>
              <c:f>Sheet1!$C$1</c:f>
              <c:strCache>
                <c:ptCount val="1"/>
                <c:pt idx="0">
                  <c:v>2010</c:v>
                </c:pt>
              </c:strCache>
            </c:strRef>
          </c:tx>
          <c:spPr>
            <a:solidFill>
              <a:schemeClr val="accent6"/>
            </a:solidFill>
            <a:ln>
              <a:solidFill>
                <a:schemeClr val="accent6"/>
              </a:solidFill>
            </a:ln>
          </c:spPr>
          <c:invertIfNegative val="0"/>
          <c:cat>
            <c:strRef>
              <c:f>Sheet1!$A$2:$A$6</c:f>
              <c:strCache>
                <c:ptCount val="5"/>
                <c:pt idx="0">
                  <c:v>White</c:v>
                </c:pt>
                <c:pt idx="1">
                  <c:v>African American</c:v>
                </c:pt>
                <c:pt idx="2">
                  <c:v>Hispanic</c:v>
                </c:pt>
                <c:pt idx="3">
                  <c:v>Asian</c:v>
                </c:pt>
                <c:pt idx="4">
                  <c:v>Other</c:v>
                </c:pt>
              </c:strCache>
            </c:strRef>
          </c:cat>
          <c:val>
            <c:numRef>
              <c:f>Sheet1!$C$2:$C$6</c:f>
              <c:numCache>
                <c:formatCode>0.0%</c:formatCode>
                <c:ptCount val="5"/>
                <c:pt idx="0">
                  <c:v>0.71599999999999997</c:v>
                </c:pt>
                <c:pt idx="1">
                  <c:v>0.125</c:v>
                </c:pt>
                <c:pt idx="2">
                  <c:v>7.8E-2</c:v>
                </c:pt>
                <c:pt idx="3">
                  <c:v>3.1E-2</c:v>
                </c:pt>
                <c:pt idx="4">
                  <c:v>0.05</c:v>
                </c:pt>
              </c:numCache>
            </c:numRef>
          </c:val>
        </c:ser>
        <c:ser>
          <c:idx val="2"/>
          <c:order val="2"/>
          <c:tx>
            <c:strRef>
              <c:f>Sheet1!$D$1</c:f>
              <c:strCache>
                <c:ptCount val="1"/>
                <c:pt idx="0">
                  <c:v>2011</c:v>
                </c:pt>
              </c:strCache>
            </c:strRef>
          </c:tx>
          <c:invertIfNegative val="0"/>
          <c:cat>
            <c:strRef>
              <c:f>Sheet1!$A$2:$A$6</c:f>
              <c:strCache>
                <c:ptCount val="5"/>
                <c:pt idx="0">
                  <c:v>White</c:v>
                </c:pt>
                <c:pt idx="1">
                  <c:v>African American</c:v>
                </c:pt>
                <c:pt idx="2">
                  <c:v>Hispanic</c:v>
                </c:pt>
                <c:pt idx="3">
                  <c:v>Asian</c:v>
                </c:pt>
                <c:pt idx="4">
                  <c:v>Other</c:v>
                </c:pt>
              </c:strCache>
            </c:strRef>
          </c:cat>
          <c:val>
            <c:numRef>
              <c:f>Sheet1!$D$2:$D$6</c:f>
              <c:numCache>
                <c:formatCode>0.0%</c:formatCode>
                <c:ptCount val="5"/>
                <c:pt idx="0">
                  <c:v>0.748</c:v>
                </c:pt>
                <c:pt idx="1">
                  <c:v>0.152</c:v>
                </c:pt>
                <c:pt idx="2">
                  <c:v>8.8999999999999996E-2</c:v>
                </c:pt>
                <c:pt idx="3">
                  <c:v>3.5000000000000003E-2</c:v>
                </c:pt>
                <c:pt idx="4">
                  <c:v>4.9000000000000002E-2</c:v>
                </c:pt>
              </c:numCache>
            </c:numRef>
          </c:val>
        </c:ser>
        <c:ser>
          <c:idx val="3"/>
          <c:order val="3"/>
          <c:tx>
            <c:strRef>
              <c:f>Sheet1!$E$1</c:f>
              <c:strCache>
                <c:ptCount val="1"/>
                <c:pt idx="0">
                  <c:v>2012</c:v>
                </c:pt>
              </c:strCache>
            </c:strRef>
          </c:tx>
          <c:spPr>
            <a:solidFill>
              <a:schemeClr val="tx2"/>
            </a:solidFill>
            <a:ln>
              <a:solidFill>
                <a:schemeClr val="tx2"/>
              </a:solidFill>
            </a:ln>
          </c:spPr>
          <c:invertIfNegative val="0"/>
          <c:cat>
            <c:strRef>
              <c:f>Sheet1!$A$2:$A$6</c:f>
              <c:strCache>
                <c:ptCount val="5"/>
                <c:pt idx="0">
                  <c:v>White</c:v>
                </c:pt>
                <c:pt idx="1">
                  <c:v>African American</c:v>
                </c:pt>
                <c:pt idx="2">
                  <c:v>Hispanic</c:v>
                </c:pt>
                <c:pt idx="3">
                  <c:v>Asian</c:v>
                </c:pt>
                <c:pt idx="4">
                  <c:v>Other</c:v>
                </c:pt>
              </c:strCache>
            </c:strRef>
          </c:cat>
          <c:val>
            <c:numRef>
              <c:f>Sheet1!$E$2:$E$6</c:f>
              <c:numCache>
                <c:formatCode>0.0%</c:formatCode>
                <c:ptCount val="5"/>
                <c:pt idx="0">
                  <c:v>0.80100000000000005</c:v>
                </c:pt>
                <c:pt idx="1">
                  <c:v>0.128</c:v>
                </c:pt>
                <c:pt idx="2">
                  <c:v>7.9000000000000001E-2</c:v>
                </c:pt>
                <c:pt idx="3">
                  <c:v>2.1999999999999999E-2</c:v>
                </c:pt>
                <c:pt idx="4">
                  <c:v>6.3E-2</c:v>
                </c:pt>
              </c:numCache>
            </c:numRef>
          </c:val>
        </c:ser>
        <c:ser>
          <c:idx val="4"/>
          <c:order val="4"/>
          <c:tx>
            <c:strRef>
              <c:f>Sheet1!$F$1</c:f>
              <c:strCache>
                <c:ptCount val="1"/>
                <c:pt idx="0">
                  <c:v>2013</c:v>
                </c:pt>
              </c:strCache>
            </c:strRef>
          </c:tx>
          <c:spPr>
            <a:solidFill>
              <a:schemeClr val="accent1">
                <a:lumMod val="20000"/>
                <a:lumOff val="80000"/>
              </a:schemeClr>
            </a:solidFill>
            <a:ln>
              <a:solidFill>
                <a:schemeClr val="accent1">
                  <a:lumMod val="20000"/>
                  <a:lumOff val="80000"/>
                </a:schemeClr>
              </a:solidFill>
            </a:ln>
          </c:spPr>
          <c:invertIfNegative val="0"/>
          <c:cat>
            <c:strRef>
              <c:f>Sheet1!$A$2:$A$6</c:f>
              <c:strCache>
                <c:ptCount val="5"/>
                <c:pt idx="0">
                  <c:v>White</c:v>
                </c:pt>
                <c:pt idx="1">
                  <c:v>African American</c:v>
                </c:pt>
                <c:pt idx="2">
                  <c:v>Hispanic</c:v>
                </c:pt>
                <c:pt idx="3">
                  <c:v>Asian</c:v>
                </c:pt>
                <c:pt idx="4">
                  <c:v>Other</c:v>
                </c:pt>
              </c:strCache>
            </c:strRef>
          </c:cat>
          <c:val>
            <c:numRef>
              <c:f>Sheet1!$F$2:$F$6</c:f>
              <c:numCache>
                <c:formatCode>0.0%</c:formatCode>
                <c:ptCount val="5"/>
                <c:pt idx="0">
                  <c:v>0.746</c:v>
                </c:pt>
                <c:pt idx="1">
                  <c:v>0.16300000000000001</c:v>
                </c:pt>
                <c:pt idx="2">
                  <c:v>8.5999999999999993E-2</c:v>
                </c:pt>
                <c:pt idx="3">
                  <c:v>3.7999999999999999E-2</c:v>
                </c:pt>
                <c:pt idx="4">
                  <c:v>5.1999999999999998E-2</c:v>
                </c:pt>
              </c:numCache>
            </c:numRef>
          </c:val>
        </c:ser>
        <c:dLbls>
          <c:showLegendKey val="0"/>
          <c:showVal val="0"/>
          <c:showCatName val="0"/>
          <c:showSerName val="0"/>
          <c:showPercent val="0"/>
          <c:showBubbleSize val="0"/>
        </c:dLbls>
        <c:gapWidth val="150"/>
        <c:axId val="112635264"/>
        <c:axId val="112637056"/>
      </c:barChart>
      <c:catAx>
        <c:axId val="112635264"/>
        <c:scaling>
          <c:orientation val="minMax"/>
        </c:scaling>
        <c:delete val="0"/>
        <c:axPos val="b"/>
        <c:majorTickMark val="out"/>
        <c:minorTickMark val="none"/>
        <c:tickLblPos val="nextTo"/>
        <c:crossAx val="112637056"/>
        <c:crosses val="autoZero"/>
        <c:auto val="1"/>
        <c:lblAlgn val="ctr"/>
        <c:lblOffset val="100"/>
        <c:noMultiLvlLbl val="0"/>
      </c:catAx>
      <c:valAx>
        <c:axId val="112637056"/>
        <c:scaling>
          <c:orientation val="minMax"/>
        </c:scaling>
        <c:delete val="0"/>
        <c:axPos val="l"/>
        <c:majorGridlines/>
        <c:numFmt formatCode="0.0%" sourceLinked="1"/>
        <c:majorTickMark val="out"/>
        <c:minorTickMark val="none"/>
        <c:tickLblPos val="nextTo"/>
        <c:crossAx val="112635264"/>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People in Household (2010-2013)</a:t>
            </a:r>
          </a:p>
        </c:rich>
      </c:tx>
      <c:overlay val="0"/>
    </c:title>
    <c:autoTitleDeleted val="0"/>
    <c:plotArea>
      <c:layout/>
      <c:barChart>
        <c:barDir val="col"/>
        <c:grouping val="clustered"/>
        <c:varyColors val="0"/>
        <c:ser>
          <c:idx val="0"/>
          <c:order val="0"/>
          <c:tx>
            <c:strRef>
              <c:f>Sheet1!$B$1</c:f>
              <c:strCache>
                <c:ptCount val="1"/>
                <c:pt idx="0">
                  <c:v>2010</c:v>
                </c:pt>
              </c:strCache>
            </c:strRef>
          </c:tx>
          <c:spPr>
            <a:solidFill>
              <a:schemeClr val="accent6"/>
            </a:solidFill>
            <a:ln>
              <a:solidFill>
                <a:schemeClr val="accent6"/>
              </a:solidFill>
            </a:ln>
          </c:spPr>
          <c:invertIfNegative val="0"/>
          <c:cat>
            <c:strRef>
              <c:f>Sheet1!$A$2:$A$6</c:f>
              <c:strCache>
                <c:ptCount val="5"/>
                <c:pt idx="0">
                  <c:v>One</c:v>
                </c:pt>
                <c:pt idx="1">
                  <c:v>Two</c:v>
                </c:pt>
                <c:pt idx="2">
                  <c:v>Three</c:v>
                </c:pt>
                <c:pt idx="3">
                  <c:v>Four</c:v>
                </c:pt>
                <c:pt idx="4">
                  <c:v>Five or more</c:v>
                </c:pt>
              </c:strCache>
            </c:strRef>
          </c:cat>
          <c:val>
            <c:numRef>
              <c:f>Sheet1!$B$2:$B$6</c:f>
              <c:numCache>
                <c:formatCode>0.0%</c:formatCode>
                <c:ptCount val="5"/>
                <c:pt idx="0">
                  <c:v>0.16400000000000001</c:v>
                </c:pt>
                <c:pt idx="1">
                  <c:v>0.38200000000000001</c:v>
                </c:pt>
                <c:pt idx="2">
                  <c:v>0.182</c:v>
                </c:pt>
                <c:pt idx="3">
                  <c:v>0.14699999999999999</c:v>
                </c:pt>
                <c:pt idx="4">
                  <c:v>0.126</c:v>
                </c:pt>
              </c:numCache>
            </c:numRef>
          </c:val>
        </c:ser>
        <c:ser>
          <c:idx val="1"/>
          <c:order val="1"/>
          <c:tx>
            <c:strRef>
              <c:f>Sheet1!$C$1</c:f>
              <c:strCache>
                <c:ptCount val="1"/>
                <c:pt idx="0">
                  <c:v>2011</c:v>
                </c:pt>
              </c:strCache>
            </c:strRef>
          </c:tx>
          <c:spPr>
            <a:solidFill>
              <a:schemeClr val="accent3"/>
            </a:solidFill>
            <a:ln>
              <a:solidFill>
                <a:schemeClr val="accent3"/>
              </a:solidFill>
            </a:ln>
          </c:spPr>
          <c:invertIfNegative val="0"/>
          <c:cat>
            <c:strRef>
              <c:f>Sheet1!$A$2:$A$6</c:f>
              <c:strCache>
                <c:ptCount val="5"/>
                <c:pt idx="0">
                  <c:v>One</c:v>
                </c:pt>
                <c:pt idx="1">
                  <c:v>Two</c:v>
                </c:pt>
                <c:pt idx="2">
                  <c:v>Three</c:v>
                </c:pt>
                <c:pt idx="3">
                  <c:v>Four</c:v>
                </c:pt>
                <c:pt idx="4">
                  <c:v>Five or more</c:v>
                </c:pt>
              </c:strCache>
            </c:strRef>
          </c:cat>
          <c:val>
            <c:numRef>
              <c:f>Sheet1!$C$2:$C$6</c:f>
              <c:numCache>
                <c:formatCode>0.0%</c:formatCode>
                <c:ptCount val="5"/>
                <c:pt idx="0">
                  <c:v>0.17199999999999999</c:v>
                </c:pt>
                <c:pt idx="1">
                  <c:v>0.42299999999999999</c:v>
                </c:pt>
                <c:pt idx="2">
                  <c:v>0.127</c:v>
                </c:pt>
                <c:pt idx="3">
                  <c:v>0.13500000000000001</c:v>
                </c:pt>
                <c:pt idx="4">
                  <c:v>0.14299999999999999</c:v>
                </c:pt>
              </c:numCache>
            </c:numRef>
          </c:val>
        </c:ser>
        <c:ser>
          <c:idx val="2"/>
          <c:order val="2"/>
          <c:tx>
            <c:strRef>
              <c:f>Sheet1!$D$1</c:f>
              <c:strCache>
                <c:ptCount val="1"/>
                <c:pt idx="0">
                  <c:v>2012</c:v>
                </c:pt>
              </c:strCache>
            </c:strRef>
          </c:tx>
          <c:spPr>
            <a:solidFill>
              <a:schemeClr val="tx2"/>
            </a:solidFill>
            <a:ln>
              <a:solidFill>
                <a:schemeClr val="tx2"/>
              </a:solidFill>
            </a:ln>
          </c:spPr>
          <c:invertIfNegative val="0"/>
          <c:cat>
            <c:strRef>
              <c:f>Sheet1!$A$2:$A$6</c:f>
              <c:strCache>
                <c:ptCount val="5"/>
                <c:pt idx="0">
                  <c:v>One</c:v>
                </c:pt>
                <c:pt idx="1">
                  <c:v>Two</c:v>
                </c:pt>
                <c:pt idx="2">
                  <c:v>Three</c:v>
                </c:pt>
                <c:pt idx="3">
                  <c:v>Four</c:v>
                </c:pt>
                <c:pt idx="4">
                  <c:v>Five or more</c:v>
                </c:pt>
              </c:strCache>
            </c:strRef>
          </c:cat>
          <c:val>
            <c:numRef>
              <c:f>Sheet1!$D$2:$D$6</c:f>
              <c:numCache>
                <c:formatCode>0.0%</c:formatCode>
                <c:ptCount val="5"/>
                <c:pt idx="0">
                  <c:v>0.17</c:v>
                </c:pt>
                <c:pt idx="1">
                  <c:v>0.42399999999999999</c:v>
                </c:pt>
                <c:pt idx="2">
                  <c:v>0.159</c:v>
                </c:pt>
                <c:pt idx="3">
                  <c:v>0.12</c:v>
                </c:pt>
                <c:pt idx="4">
                  <c:v>0.127</c:v>
                </c:pt>
              </c:numCache>
            </c:numRef>
          </c:val>
        </c:ser>
        <c:ser>
          <c:idx val="3"/>
          <c:order val="3"/>
          <c:tx>
            <c:strRef>
              <c:f>Sheet1!$E$1</c:f>
              <c:strCache>
                <c:ptCount val="1"/>
                <c:pt idx="0">
                  <c:v>2013</c:v>
                </c:pt>
              </c:strCache>
            </c:strRef>
          </c:tx>
          <c:spPr>
            <a:solidFill>
              <a:schemeClr val="tx2">
                <a:lumMod val="20000"/>
                <a:lumOff val="80000"/>
              </a:schemeClr>
            </a:solidFill>
            <a:ln>
              <a:solidFill>
                <a:schemeClr val="tx2">
                  <a:lumMod val="20000"/>
                  <a:lumOff val="80000"/>
                </a:schemeClr>
              </a:solidFill>
            </a:ln>
          </c:spPr>
          <c:invertIfNegative val="0"/>
          <c:cat>
            <c:strRef>
              <c:f>Sheet1!$A$2:$A$6</c:f>
              <c:strCache>
                <c:ptCount val="5"/>
                <c:pt idx="0">
                  <c:v>One</c:v>
                </c:pt>
                <c:pt idx="1">
                  <c:v>Two</c:v>
                </c:pt>
                <c:pt idx="2">
                  <c:v>Three</c:v>
                </c:pt>
                <c:pt idx="3">
                  <c:v>Four</c:v>
                </c:pt>
                <c:pt idx="4">
                  <c:v>Five or more</c:v>
                </c:pt>
              </c:strCache>
            </c:strRef>
          </c:cat>
          <c:val>
            <c:numRef>
              <c:f>Sheet1!$E$2:$E$6</c:f>
              <c:numCache>
                <c:formatCode>0.0%</c:formatCode>
                <c:ptCount val="5"/>
                <c:pt idx="0">
                  <c:v>0.17299999999999999</c:v>
                </c:pt>
                <c:pt idx="1">
                  <c:v>0.38600000000000001</c:v>
                </c:pt>
                <c:pt idx="2">
                  <c:v>0.17</c:v>
                </c:pt>
                <c:pt idx="3">
                  <c:v>0.13600000000000001</c:v>
                </c:pt>
                <c:pt idx="4">
                  <c:v>0.13500000000000001</c:v>
                </c:pt>
              </c:numCache>
            </c:numRef>
          </c:val>
        </c:ser>
        <c:dLbls>
          <c:showLegendKey val="0"/>
          <c:showVal val="0"/>
          <c:showCatName val="0"/>
          <c:showSerName val="0"/>
          <c:showPercent val="0"/>
          <c:showBubbleSize val="0"/>
        </c:dLbls>
        <c:gapWidth val="150"/>
        <c:axId val="112651648"/>
        <c:axId val="112653440"/>
      </c:barChart>
      <c:catAx>
        <c:axId val="112651648"/>
        <c:scaling>
          <c:orientation val="minMax"/>
        </c:scaling>
        <c:delete val="0"/>
        <c:axPos val="b"/>
        <c:majorTickMark val="out"/>
        <c:minorTickMark val="none"/>
        <c:tickLblPos val="nextTo"/>
        <c:crossAx val="112653440"/>
        <c:crosses val="autoZero"/>
        <c:auto val="1"/>
        <c:lblAlgn val="ctr"/>
        <c:lblOffset val="100"/>
        <c:noMultiLvlLbl val="0"/>
      </c:catAx>
      <c:valAx>
        <c:axId val="112653440"/>
        <c:scaling>
          <c:orientation val="minMax"/>
        </c:scaling>
        <c:delete val="0"/>
        <c:axPos val="l"/>
        <c:majorGridlines/>
        <c:numFmt formatCode="0.0%" sourceLinked="1"/>
        <c:majorTickMark val="out"/>
        <c:minorTickMark val="none"/>
        <c:tickLblPos val="nextTo"/>
        <c:crossAx val="112651648"/>
        <c:crosses val="autoZero"/>
        <c:crossBetween val="between"/>
        <c:majorUnit val="0.1"/>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Patients in Household </a:t>
            </a:r>
          </a:p>
          <a:p>
            <a:pPr>
              <a:defRPr/>
            </a:pPr>
            <a:r>
              <a:rPr lang="en-US"/>
              <a:t>(2012-2013)</a:t>
            </a:r>
          </a:p>
        </c:rich>
      </c:tx>
      <c:overlay val="0"/>
    </c:title>
    <c:autoTitleDeleted val="0"/>
    <c:plotArea>
      <c:layout/>
      <c:barChart>
        <c:barDir val="col"/>
        <c:grouping val="clustered"/>
        <c:varyColors val="0"/>
        <c:ser>
          <c:idx val="0"/>
          <c:order val="0"/>
          <c:tx>
            <c:strRef>
              <c:f>Sheet1!$B$1</c:f>
              <c:strCache>
                <c:ptCount val="1"/>
                <c:pt idx="0">
                  <c:v>2012</c:v>
                </c:pt>
              </c:strCache>
            </c:strRef>
          </c:tx>
          <c:spPr>
            <a:solidFill>
              <a:schemeClr val="tx2"/>
            </a:solidFill>
            <a:ln>
              <a:solidFill>
                <a:schemeClr val="tx2"/>
              </a:solidFill>
            </a:ln>
          </c:spPr>
          <c:invertIfNegative val="0"/>
          <c:cat>
            <c:strRef>
              <c:f>Sheet1!$A$2:$A$6</c:f>
              <c:strCache>
                <c:ptCount val="5"/>
                <c:pt idx="0">
                  <c:v>One</c:v>
                </c:pt>
                <c:pt idx="1">
                  <c:v>Two</c:v>
                </c:pt>
                <c:pt idx="2">
                  <c:v>Three</c:v>
                </c:pt>
                <c:pt idx="3">
                  <c:v>Four</c:v>
                </c:pt>
                <c:pt idx="4">
                  <c:v>Five or more</c:v>
                </c:pt>
              </c:strCache>
            </c:strRef>
          </c:cat>
          <c:val>
            <c:numRef>
              <c:f>Sheet1!$B$2:$B$6</c:f>
              <c:numCache>
                <c:formatCode>0.0%</c:formatCode>
                <c:ptCount val="5"/>
                <c:pt idx="0">
                  <c:v>0.64300000000000002</c:v>
                </c:pt>
                <c:pt idx="1">
                  <c:v>0.28999999999999998</c:v>
                </c:pt>
                <c:pt idx="2">
                  <c:v>3.2000000000000001E-2</c:v>
                </c:pt>
                <c:pt idx="3">
                  <c:v>2.5000000000000001E-2</c:v>
                </c:pt>
                <c:pt idx="4">
                  <c:v>0.01</c:v>
                </c:pt>
              </c:numCache>
            </c:numRef>
          </c:val>
        </c:ser>
        <c:ser>
          <c:idx val="1"/>
          <c:order val="1"/>
          <c:tx>
            <c:strRef>
              <c:f>Sheet1!$C$1</c:f>
              <c:strCache>
                <c:ptCount val="1"/>
                <c:pt idx="0">
                  <c:v>2013</c:v>
                </c:pt>
              </c:strCache>
            </c:strRef>
          </c:tx>
          <c:spPr>
            <a:solidFill>
              <a:schemeClr val="tx2">
                <a:lumMod val="20000"/>
                <a:lumOff val="80000"/>
              </a:schemeClr>
            </a:solidFill>
            <a:ln>
              <a:solidFill>
                <a:schemeClr val="tx2">
                  <a:lumMod val="20000"/>
                  <a:lumOff val="80000"/>
                </a:schemeClr>
              </a:solidFill>
            </a:ln>
          </c:spPr>
          <c:invertIfNegative val="0"/>
          <c:cat>
            <c:strRef>
              <c:f>Sheet1!$A$2:$A$6</c:f>
              <c:strCache>
                <c:ptCount val="5"/>
                <c:pt idx="0">
                  <c:v>One</c:v>
                </c:pt>
                <c:pt idx="1">
                  <c:v>Two</c:v>
                </c:pt>
                <c:pt idx="2">
                  <c:v>Three</c:v>
                </c:pt>
                <c:pt idx="3">
                  <c:v>Four</c:v>
                </c:pt>
                <c:pt idx="4">
                  <c:v>Five or more</c:v>
                </c:pt>
              </c:strCache>
            </c:strRef>
          </c:cat>
          <c:val>
            <c:numRef>
              <c:f>Sheet1!$C$2:$C$6</c:f>
              <c:numCache>
                <c:formatCode>0.0%</c:formatCode>
                <c:ptCount val="5"/>
                <c:pt idx="0">
                  <c:v>0.66300000000000003</c:v>
                </c:pt>
                <c:pt idx="1">
                  <c:v>0.26</c:v>
                </c:pt>
                <c:pt idx="2">
                  <c:v>4.9000000000000002E-2</c:v>
                </c:pt>
                <c:pt idx="3">
                  <c:v>1.4E-2</c:v>
                </c:pt>
                <c:pt idx="4">
                  <c:v>1.4E-2</c:v>
                </c:pt>
              </c:numCache>
            </c:numRef>
          </c:val>
        </c:ser>
        <c:dLbls>
          <c:showLegendKey val="0"/>
          <c:showVal val="0"/>
          <c:showCatName val="0"/>
          <c:showSerName val="0"/>
          <c:showPercent val="0"/>
          <c:showBubbleSize val="0"/>
        </c:dLbls>
        <c:gapWidth val="150"/>
        <c:axId val="113887104"/>
        <c:axId val="113888640"/>
      </c:barChart>
      <c:catAx>
        <c:axId val="113887104"/>
        <c:scaling>
          <c:orientation val="minMax"/>
        </c:scaling>
        <c:delete val="0"/>
        <c:axPos val="b"/>
        <c:majorTickMark val="out"/>
        <c:minorTickMark val="none"/>
        <c:tickLblPos val="nextTo"/>
        <c:crossAx val="113888640"/>
        <c:crosses val="autoZero"/>
        <c:auto val="1"/>
        <c:lblAlgn val="ctr"/>
        <c:lblOffset val="100"/>
        <c:noMultiLvlLbl val="0"/>
      </c:catAx>
      <c:valAx>
        <c:axId val="113888640"/>
        <c:scaling>
          <c:orientation val="minMax"/>
        </c:scaling>
        <c:delete val="0"/>
        <c:axPos val="l"/>
        <c:majorGridlines/>
        <c:numFmt formatCode="0.0%" sourceLinked="1"/>
        <c:majorTickMark val="out"/>
        <c:minorTickMark val="none"/>
        <c:tickLblPos val="nextTo"/>
        <c:crossAx val="113887104"/>
        <c:crosses val="autoZero"/>
        <c:crossBetween val="between"/>
        <c:majorUnit val="0.1"/>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CE683-C472-4C19-AF7D-C21DD810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34</Pages>
  <Words>4230</Words>
  <Characters>24115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UF College of Dentistry Patient Satisfaction Survey</vt:lpstr>
    </vt:vector>
  </TitlesOfParts>
  <Company/>
  <LinksUpToDate>false</LinksUpToDate>
  <CharactersWithSpaces>28289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 College of Dentistry Patient Satisfaction Survey</dc:title>
  <dc:subject>Results: 2009 - 2013</dc:subject>
  <dc:creator>Tracy</dc:creator>
  <cp:lastModifiedBy>Tracy L. Johns</cp:lastModifiedBy>
  <cp:revision>43</cp:revision>
  <cp:lastPrinted>2014-01-09T15:42:00Z</cp:lastPrinted>
  <dcterms:created xsi:type="dcterms:W3CDTF">2014-01-02T15:09:00Z</dcterms:created>
  <dcterms:modified xsi:type="dcterms:W3CDTF">2014-03-27T14:46:00Z</dcterms:modified>
</cp:coreProperties>
</file>