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rPr>
        <w:id w:val="8648714"/>
        <w:docPartObj>
          <w:docPartGallery w:val="Cover Pages"/>
          <w:docPartUnique/>
        </w:docPartObj>
      </w:sdtPr>
      <w:sdtEndPr>
        <w:rPr>
          <w:rFonts w:asciiTheme="minorHAnsi" w:eastAsiaTheme="minorHAnsi" w:hAnsiTheme="minorHAnsi" w:cstheme="minorBidi"/>
          <w:sz w:val="22"/>
          <w:szCs w:val="22"/>
        </w:rPr>
      </w:sdtEndPr>
      <w:sdtContent>
        <w:p w:rsidR="00EF14FE" w:rsidRDefault="00F400C1">
          <w:pPr>
            <w:pStyle w:val="NoSpacing"/>
            <w:rPr>
              <w:rFonts w:asciiTheme="majorHAnsi" w:eastAsiaTheme="majorEastAsia" w:hAnsiTheme="majorHAnsi" w:cstheme="majorBidi"/>
              <w:sz w:val="72"/>
              <w:szCs w:val="72"/>
            </w:rPr>
          </w:pPr>
          <w:r>
            <w:rPr>
              <w:rFonts w:eastAsiaTheme="majorEastAsia" w:cstheme="majorBidi"/>
              <w:noProof/>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page">
                      <wp:align>bottom</wp:align>
                    </wp:positionV>
                    <wp:extent cx="10539095" cy="807085"/>
                    <wp:effectExtent l="9525" t="9525" r="12700" b="635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39095" cy="807085"/>
                            </a:xfrm>
                            <a:prstGeom prst="rect">
                              <a:avLst/>
                            </a:prstGeom>
                            <a:solidFill>
                              <a:schemeClr val="accent6">
                                <a:lumMod val="100000"/>
                                <a:lumOff val="0"/>
                              </a:schemeClr>
                            </a:solidFill>
                            <a:ln w="9525">
                              <a:solidFill>
                                <a:schemeClr val="accent6">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829.85pt;height:63.55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" o:allowincell="f" fillcolor="#f79646 [3209]" strokecolor="#f79646 [3209]">
                    <w10:wrap anchorx="page" anchory="page"/>
                  </v:rect>
                </w:pict>
              </mc:Fallback>
            </mc:AlternateContent>
          </w:r>
          <w:r>
            <w:rPr>
              <w:rFonts w:eastAsiaTheme="majorEastAsia" w:cstheme="majorBidi"/>
              <w:noProof/>
            </w:rPr>
            <mc:AlternateContent>
              <mc:Choice Requires="wps">
                <w:drawing>
                  <wp:anchor distT="0" distB="0" distL="114300" distR="114300" simplePos="0" relativeHeight="251663360" behindDoc="0" locked="0" layoutInCell="0" allowOverlap="1">
                    <wp:simplePos x="0" y="0"/>
                    <wp:positionH relativeFrom="leftMargin">
                      <wp:align>center</wp:align>
                    </wp:positionH>
                    <wp:positionV relativeFrom="page">
                      <wp:align>center</wp:align>
                    </wp:positionV>
                    <wp:extent cx="90805" cy="8138795"/>
                    <wp:effectExtent l="9525" t="9525" r="13970" b="1270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38795"/>
                            </a:xfrm>
                            <a:prstGeom prst="rect">
                              <a:avLst/>
                            </a:prstGeom>
                            <a:solidFill>
                              <a:schemeClr val="bg1">
                                <a:lumMod val="100000"/>
                                <a:lumOff val="0"/>
                              </a:schemeClr>
                            </a:solidFill>
                            <a:ln w="9525">
                              <a:solidFill>
                                <a:schemeClr val="accent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640.85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" o:allowincell="f" fillcolor="white [3212]" strokecolor="#4f81bd [3204]">
                    <w10:wrap anchorx="margin" anchory="page"/>
                  </v:rect>
                </w:pict>
              </mc:Fallback>
            </mc:AlternateContent>
          </w:r>
          <w:r>
            <w:rPr>
              <w:rFonts w:eastAsiaTheme="majorEastAsia" w:cstheme="majorBidi"/>
              <w:noProof/>
            </w:rPr>
            <mc:AlternateContent>
              <mc:Choice Requires="wps">
                <w:drawing>
                  <wp:anchor distT="0" distB="0" distL="114300" distR="114300" simplePos="0" relativeHeight="251662336" behindDoc="0" locked="0" layoutInCell="0" allowOverlap="1">
                    <wp:simplePos x="0" y="0"/>
                    <wp:positionH relativeFrom="rightMargin">
                      <wp:align>center</wp:align>
                    </wp:positionH>
                    <wp:positionV relativeFrom="page">
                      <wp:align>center</wp:align>
                    </wp:positionV>
                    <wp:extent cx="90805" cy="8138795"/>
                    <wp:effectExtent l="9525" t="9525" r="13970" b="1270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38795"/>
                            </a:xfrm>
                            <a:prstGeom prst="rect">
                              <a:avLst/>
                            </a:prstGeom>
                            <a:solidFill>
                              <a:schemeClr val="bg1">
                                <a:lumMod val="100000"/>
                                <a:lumOff val="0"/>
                              </a:schemeClr>
                            </a:solidFill>
                            <a:ln w="9525">
                              <a:solidFill>
                                <a:schemeClr val="accent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640.85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" o:allowincell="f" fillcolor="white [3212]" strokecolor="#4f81bd [3204]">
                    <w10:wrap anchorx="margin" anchory="page"/>
                  </v:rect>
                </w:pict>
              </mc:Fallback>
            </mc:AlternateContent>
          </w:r>
          <w:r>
            <w:rPr>
              <w:rFonts w:eastAsiaTheme="majorEastAsia" w:cstheme="majorBidi"/>
              <w:noProof/>
            </w:rPr>
            <mc:AlternateContent>
              <mc:Choice Requires="wps">
                <w:drawing>
                  <wp:anchor distT="0" distB="0" distL="114300" distR="114300" simplePos="0" relativeHeight="251661312" behindDoc="0" locked="0" layoutInCell="0" allowOverlap="1">
                    <wp:simplePos x="0" y="0"/>
                    <wp:positionH relativeFrom="page">
                      <wp:align>center</wp:align>
                    </wp:positionH>
                    <wp:positionV relativeFrom="topMargin">
                      <wp:align>top</wp:align>
                    </wp:positionV>
                    <wp:extent cx="10539095" cy="807085"/>
                    <wp:effectExtent l="9525" t="9525" r="12700" b="635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39095" cy="807085"/>
                            </a:xfrm>
                            <a:prstGeom prst="rect">
                              <a:avLst/>
                            </a:prstGeom>
                            <a:solidFill>
                              <a:schemeClr val="accent1">
                                <a:lumMod val="100000"/>
                                <a:lumOff val="0"/>
                              </a:schemeClr>
                            </a:solidFill>
                            <a:ln w="9525">
                              <a:solidFill>
                                <a:schemeClr val="accent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829.85pt;height:63.55pt;z-index:25166131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" o:allowincell="f" fillcolor="#4f81bd [3204]" strokecolor="#4f81bd [3204]">
                    <w10:wrap anchorx="page" anchory="margin"/>
                  </v:rect>
                </w:pict>
              </mc:Fallback>
            </mc:AlternateContent>
          </w:r>
        </w:p>
        <w:sdt>
          <w:sdtPr>
            <w:rPr>
              <w:rFonts w:asciiTheme="majorHAnsi" w:eastAsiaTheme="majorEastAsia" w:hAnsiTheme="majorHAnsi" w:cstheme="majorBidi"/>
              <w:sz w:val="72"/>
              <w:szCs w:val="72"/>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rsidR="00EF14FE" w:rsidRDefault="00961308">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UF College of Dentistry Patient Satisfaction Survey</w:t>
              </w:r>
            </w:p>
          </w:sdtContent>
        </w:sdt>
        <w:sdt>
          <w:sdtPr>
            <w:rPr>
              <w:rFonts w:asciiTheme="majorHAnsi" w:eastAsiaTheme="majorEastAsia" w:hAnsiTheme="majorHAnsi" w:cstheme="majorBidi"/>
              <w:sz w:val="36"/>
              <w:szCs w:val="36"/>
            </w:rPr>
            <w:alias w:val="Subtitle"/>
            <w:id w:val="14700077"/>
            <w:dataBinding w:prefixMappings="xmlns:ns0='http://schemas.openxmlformats.org/package/2006/metadata/core-properties' xmlns:ns1='http://purl.org/dc/elements/1.1/'" w:xpath="/ns0:coreProperties[1]/ns1:subject[1]" w:storeItemID="{6C3C8BC8-F283-45AE-878A-BAB7291924A1}"/>
            <w:text/>
          </w:sdtPr>
          <w:sdtEndPr/>
          <w:sdtContent>
            <w:p w:rsidR="00EF14FE" w:rsidRDefault="00961308">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Results by Clinic: 2014</w:t>
              </w:r>
            </w:p>
          </w:sdtContent>
        </w:sdt>
        <w:p w:rsidR="00EF14FE" w:rsidRDefault="00EF14FE">
          <w:pPr>
            <w:pStyle w:val="NoSpacing"/>
            <w:rPr>
              <w:rFonts w:asciiTheme="majorHAnsi" w:eastAsiaTheme="majorEastAsia" w:hAnsiTheme="majorHAnsi" w:cstheme="majorBidi"/>
              <w:sz w:val="36"/>
              <w:szCs w:val="36"/>
            </w:rPr>
          </w:pPr>
        </w:p>
        <w:p w:rsidR="00EF14FE" w:rsidRDefault="00612A8A">
          <w:pPr>
            <w:pStyle w:val="NoSpacing"/>
            <w:rPr>
              <w:rFonts w:asciiTheme="majorHAnsi" w:eastAsiaTheme="majorEastAsia" w:hAnsiTheme="majorHAnsi" w:cstheme="majorBidi"/>
              <w:sz w:val="36"/>
              <w:szCs w:val="36"/>
            </w:rPr>
          </w:pPr>
          <w:r>
            <w:rPr>
              <w:rFonts w:asciiTheme="majorHAnsi" w:eastAsiaTheme="majorEastAsia" w:hAnsiTheme="majorHAnsi" w:cstheme="majorBidi"/>
              <w:noProof/>
              <w:sz w:val="36"/>
              <w:szCs w:val="36"/>
            </w:rPr>
            <w:drawing>
              <wp:anchor distT="0" distB="0" distL="114300" distR="114300" simplePos="0" relativeHeight="251665408" behindDoc="1" locked="0" layoutInCell="1" allowOverlap="1">
                <wp:simplePos x="0" y="0"/>
                <wp:positionH relativeFrom="rightMargin">
                  <wp:posOffset>-4038600</wp:posOffset>
                </wp:positionH>
                <wp:positionV relativeFrom="page">
                  <wp:posOffset>3238500</wp:posOffset>
                </wp:positionV>
                <wp:extent cx="3305175" cy="2505075"/>
                <wp:effectExtent l="19050" t="0" r="9525" b="0"/>
                <wp:wrapNone/>
                <wp:docPr id="8" name="Picture 7" descr="s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
                        <pic:cNvPicPr/>
                      </pic:nvPicPr>
                      <pic:blipFill>
                        <a:blip r:embed="rId9" cstate="print"/>
                        <a:stretch>
                          <a:fillRect/>
                        </a:stretch>
                      </pic:blipFill>
                      <pic:spPr>
                        <a:xfrm>
                          <a:off x="0" y="0"/>
                          <a:ext cx="3305175" cy="2505075"/>
                        </a:xfrm>
                        <a:prstGeom prst="rect">
                          <a:avLst/>
                        </a:prstGeom>
                      </pic:spPr>
                    </pic:pic>
                  </a:graphicData>
                </a:graphic>
              </wp:anchor>
            </w:drawing>
          </w:r>
        </w:p>
        <w:p w:rsidR="00EF14FE" w:rsidRDefault="00EF14FE">
          <w:pPr>
            <w:pStyle w:val="NoSpacing"/>
          </w:pPr>
        </w:p>
        <w:p w:rsidR="00EF14FE" w:rsidRDefault="00EF14FE">
          <w:pPr>
            <w:pStyle w:val="NoSpacing"/>
          </w:pPr>
        </w:p>
        <w:p w:rsidR="00EF14FE" w:rsidRDefault="00EF14FE"/>
        <w:p w:rsidR="00EF14FE" w:rsidRDefault="00612A8A">
          <w:pPr>
            <w:spacing w:after="200" w:line="276" w:lineRule="auto"/>
            <w:rPr>
              <w:rFonts w:asciiTheme="majorHAnsi" w:eastAsiaTheme="majorEastAsia" w:hAnsiTheme="majorHAnsi" w:cstheme="majorBidi"/>
              <w:b/>
              <w:bCs/>
              <w:color w:val="365F91" w:themeColor="accent1" w:themeShade="BF"/>
              <w:sz w:val="28"/>
              <w:szCs w:val="28"/>
            </w:rPr>
          </w:pPr>
          <w:r>
            <w:rPr>
              <w:noProof/>
            </w:rPr>
            <w:drawing>
              <wp:anchor distT="0" distB="0" distL="114300" distR="114300" simplePos="0" relativeHeight="251664384" behindDoc="1" locked="0" layoutInCell="1" allowOverlap="1">
                <wp:simplePos x="0" y="0"/>
                <wp:positionH relativeFrom="rightMargin">
                  <wp:posOffset>-8382000</wp:posOffset>
                </wp:positionH>
                <wp:positionV relativeFrom="page">
                  <wp:posOffset>6048375</wp:posOffset>
                </wp:positionV>
                <wp:extent cx="1905000" cy="609600"/>
                <wp:effectExtent l="19050" t="0" r="0" b="0"/>
                <wp:wrapNone/>
                <wp:docPr id="2" name="Picture 1" descr="UF College of Dentist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 College of Dentistry logo.jpg"/>
                        <pic:cNvPicPr/>
                      </pic:nvPicPr>
                      <pic:blipFill>
                        <a:blip r:embed="rId10" cstate="print"/>
                        <a:stretch>
                          <a:fillRect/>
                        </a:stretch>
                      </pic:blipFill>
                      <pic:spPr>
                        <a:xfrm>
                          <a:off x="0" y="0"/>
                          <a:ext cx="1905000" cy="609600"/>
                        </a:xfrm>
                        <a:prstGeom prst="rect">
                          <a:avLst/>
                        </a:prstGeom>
                      </pic:spPr>
                    </pic:pic>
                  </a:graphicData>
                </a:graphic>
              </wp:anchor>
            </w:drawing>
          </w:r>
          <w:r w:rsidR="00EF14FE">
            <w:br w:type="page"/>
          </w:r>
        </w:p>
      </w:sdtContent>
    </w:sdt>
    <w:sdt>
      <w:sdtPr>
        <w:rPr>
          <w:rFonts w:asciiTheme="minorHAnsi" w:eastAsiaTheme="minorHAnsi" w:hAnsiTheme="minorHAnsi" w:cstheme="minorBidi"/>
          <w:b w:val="0"/>
          <w:bCs w:val="0"/>
          <w:color w:val="auto"/>
          <w:sz w:val="22"/>
          <w:szCs w:val="22"/>
        </w:rPr>
        <w:id w:val="8648712"/>
        <w:docPartObj>
          <w:docPartGallery w:val="Table of Contents"/>
          <w:docPartUnique/>
        </w:docPartObj>
      </w:sdtPr>
      <w:sdtEndPr/>
      <w:sdtContent>
        <w:p w:rsidR="00EF14FE" w:rsidRDefault="00EF14FE">
          <w:pPr>
            <w:pStyle w:val="TOCHeading"/>
          </w:pPr>
          <w:r>
            <w:t>Table of Contents</w:t>
          </w:r>
        </w:p>
        <w:p w:rsidR="00306ACE" w:rsidRDefault="003526CC">
          <w:pPr>
            <w:pStyle w:val="TOC1"/>
            <w:tabs>
              <w:tab w:val="right" w:leader="dot" w:pos="12950"/>
            </w:tabs>
            <w:rPr>
              <w:rFonts w:eastAsiaTheme="minorEastAsia"/>
              <w:noProof/>
            </w:rPr>
          </w:pPr>
          <w:r>
            <w:fldChar w:fldCharType="begin"/>
          </w:r>
          <w:r w:rsidR="00EF14FE">
            <w:instrText xml:space="preserve"> TOC \o "1-3" \h \z \u </w:instrText>
          </w:r>
          <w:r>
            <w:fldChar w:fldCharType="separate"/>
          </w:r>
          <w:hyperlink w:anchor="_Toc377727073" w:history="1">
            <w:r w:rsidR="00306ACE" w:rsidRPr="00160A5D">
              <w:rPr>
                <w:rStyle w:val="Hyperlink"/>
                <w:noProof/>
              </w:rPr>
              <w:t>Introduction</w:t>
            </w:r>
            <w:r w:rsidR="00306ACE">
              <w:rPr>
                <w:noProof/>
                <w:webHidden/>
              </w:rPr>
              <w:tab/>
            </w:r>
            <w:r w:rsidR="00306ACE">
              <w:rPr>
                <w:noProof/>
                <w:webHidden/>
              </w:rPr>
              <w:fldChar w:fldCharType="begin"/>
            </w:r>
            <w:r w:rsidR="00306ACE">
              <w:rPr>
                <w:noProof/>
                <w:webHidden/>
              </w:rPr>
              <w:instrText xml:space="preserve"> PAGEREF _Toc377727073 \h </w:instrText>
            </w:r>
            <w:r w:rsidR="00306ACE">
              <w:rPr>
                <w:noProof/>
                <w:webHidden/>
              </w:rPr>
            </w:r>
            <w:r w:rsidR="00306ACE">
              <w:rPr>
                <w:noProof/>
                <w:webHidden/>
              </w:rPr>
              <w:fldChar w:fldCharType="separate"/>
            </w:r>
            <w:r w:rsidR="0089696D">
              <w:rPr>
                <w:noProof/>
                <w:webHidden/>
              </w:rPr>
              <w:t>3</w:t>
            </w:r>
            <w:r w:rsidR="00306ACE">
              <w:rPr>
                <w:noProof/>
                <w:webHidden/>
              </w:rPr>
              <w:fldChar w:fldCharType="end"/>
            </w:r>
          </w:hyperlink>
        </w:p>
        <w:p w:rsidR="00306ACE" w:rsidRDefault="0005578C">
          <w:pPr>
            <w:pStyle w:val="TOC2"/>
            <w:tabs>
              <w:tab w:val="right" w:leader="dot" w:pos="12950"/>
            </w:tabs>
            <w:rPr>
              <w:rFonts w:eastAsiaTheme="minorEastAsia"/>
              <w:noProof/>
            </w:rPr>
          </w:pPr>
          <w:hyperlink w:anchor="_Toc377727074" w:history="1">
            <w:r w:rsidR="00306ACE" w:rsidRPr="00160A5D">
              <w:rPr>
                <w:rStyle w:val="Hyperlink"/>
                <w:noProof/>
              </w:rPr>
              <w:t>Percentage of Surveys Completed to Patients Seen by Clinics</w:t>
            </w:r>
            <w:r w:rsidR="00306ACE">
              <w:rPr>
                <w:noProof/>
                <w:webHidden/>
              </w:rPr>
              <w:tab/>
            </w:r>
            <w:r w:rsidR="00306ACE">
              <w:rPr>
                <w:noProof/>
                <w:webHidden/>
              </w:rPr>
              <w:fldChar w:fldCharType="begin"/>
            </w:r>
            <w:r w:rsidR="00306ACE">
              <w:rPr>
                <w:noProof/>
                <w:webHidden/>
              </w:rPr>
              <w:instrText xml:space="preserve"> PAGEREF _Toc377727074 \h </w:instrText>
            </w:r>
            <w:r w:rsidR="00306ACE">
              <w:rPr>
                <w:noProof/>
                <w:webHidden/>
              </w:rPr>
            </w:r>
            <w:r w:rsidR="00306ACE">
              <w:rPr>
                <w:noProof/>
                <w:webHidden/>
              </w:rPr>
              <w:fldChar w:fldCharType="separate"/>
            </w:r>
            <w:r w:rsidR="0089696D">
              <w:rPr>
                <w:noProof/>
                <w:webHidden/>
              </w:rPr>
              <w:t>3</w:t>
            </w:r>
            <w:r w:rsidR="00306ACE">
              <w:rPr>
                <w:noProof/>
                <w:webHidden/>
              </w:rPr>
              <w:fldChar w:fldCharType="end"/>
            </w:r>
          </w:hyperlink>
        </w:p>
        <w:p w:rsidR="00306ACE" w:rsidRDefault="0005578C">
          <w:pPr>
            <w:pStyle w:val="TOC2"/>
            <w:tabs>
              <w:tab w:val="right" w:leader="dot" w:pos="12950"/>
            </w:tabs>
            <w:rPr>
              <w:rFonts w:eastAsiaTheme="minorEastAsia"/>
              <w:noProof/>
            </w:rPr>
          </w:pPr>
          <w:hyperlink w:anchor="_Toc377727075" w:history="1">
            <w:r w:rsidR="00306ACE" w:rsidRPr="00160A5D">
              <w:rPr>
                <w:rStyle w:val="Hyperlink"/>
                <w:noProof/>
              </w:rPr>
              <w:t>Response by Clinic</w:t>
            </w:r>
            <w:r w:rsidR="00306ACE">
              <w:rPr>
                <w:noProof/>
                <w:webHidden/>
              </w:rPr>
              <w:tab/>
            </w:r>
            <w:r w:rsidR="00306ACE">
              <w:rPr>
                <w:noProof/>
                <w:webHidden/>
              </w:rPr>
              <w:fldChar w:fldCharType="begin"/>
            </w:r>
            <w:r w:rsidR="00306ACE">
              <w:rPr>
                <w:noProof/>
                <w:webHidden/>
              </w:rPr>
              <w:instrText xml:space="preserve"> PAGEREF _Toc377727075 \h </w:instrText>
            </w:r>
            <w:r w:rsidR="00306ACE">
              <w:rPr>
                <w:noProof/>
                <w:webHidden/>
              </w:rPr>
            </w:r>
            <w:r w:rsidR="00306ACE">
              <w:rPr>
                <w:noProof/>
                <w:webHidden/>
              </w:rPr>
              <w:fldChar w:fldCharType="separate"/>
            </w:r>
            <w:r w:rsidR="0089696D">
              <w:rPr>
                <w:noProof/>
                <w:webHidden/>
              </w:rPr>
              <w:t>4</w:t>
            </w:r>
            <w:r w:rsidR="00306ACE">
              <w:rPr>
                <w:noProof/>
                <w:webHidden/>
              </w:rPr>
              <w:fldChar w:fldCharType="end"/>
            </w:r>
          </w:hyperlink>
        </w:p>
        <w:p w:rsidR="00306ACE" w:rsidRDefault="0005578C">
          <w:pPr>
            <w:pStyle w:val="TOC1"/>
            <w:tabs>
              <w:tab w:val="right" w:leader="dot" w:pos="12950"/>
            </w:tabs>
            <w:rPr>
              <w:rFonts w:eastAsiaTheme="minorEastAsia"/>
              <w:noProof/>
            </w:rPr>
          </w:pPr>
          <w:hyperlink w:anchor="_Toc377727076" w:history="1">
            <w:r w:rsidR="00306ACE" w:rsidRPr="00160A5D">
              <w:rPr>
                <w:rStyle w:val="Hyperlink"/>
                <w:noProof/>
              </w:rPr>
              <w:t>Demographics</w:t>
            </w:r>
            <w:r w:rsidR="00306ACE">
              <w:rPr>
                <w:noProof/>
                <w:webHidden/>
              </w:rPr>
              <w:tab/>
            </w:r>
            <w:r w:rsidR="00306ACE">
              <w:rPr>
                <w:noProof/>
                <w:webHidden/>
              </w:rPr>
              <w:fldChar w:fldCharType="begin"/>
            </w:r>
            <w:r w:rsidR="00306ACE">
              <w:rPr>
                <w:noProof/>
                <w:webHidden/>
              </w:rPr>
              <w:instrText xml:space="preserve"> PAGEREF _Toc377727076 \h </w:instrText>
            </w:r>
            <w:r w:rsidR="00306ACE">
              <w:rPr>
                <w:noProof/>
                <w:webHidden/>
              </w:rPr>
            </w:r>
            <w:r w:rsidR="00306ACE">
              <w:rPr>
                <w:noProof/>
                <w:webHidden/>
              </w:rPr>
              <w:fldChar w:fldCharType="separate"/>
            </w:r>
            <w:r w:rsidR="0089696D">
              <w:rPr>
                <w:noProof/>
                <w:webHidden/>
              </w:rPr>
              <w:t>4</w:t>
            </w:r>
            <w:r w:rsidR="00306ACE">
              <w:rPr>
                <w:noProof/>
                <w:webHidden/>
              </w:rPr>
              <w:fldChar w:fldCharType="end"/>
            </w:r>
          </w:hyperlink>
        </w:p>
        <w:p w:rsidR="00306ACE" w:rsidRDefault="0005578C">
          <w:pPr>
            <w:pStyle w:val="TOC2"/>
            <w:tabs>
              <w:tab w:val="right" w:leader="dot" w:pos="12950"/>
            </w:tabs>
            <w:rPr>
              <w:rFonts w:eastAsiaTheme="minorEastAsia"/>
              <w:noProof/>
            </w:rPr>
          </w:pPr>
          <w:hyperlink w:anchor="_Toc377727077" w:history="1">
            <w:r w:rsidR="00306ACE" w:rsidRPr="00160A5D">
              <w:rPr>
                <w:rStyle w:val="Hyperlink"/>
                <w:noProof/>
              </w:rPr>
              <w:t>Age</w:t>
            </w:r>
            <w:r w:rsidR="00306ACE">
              <w:rPr>
                <w:noProof/>
                <w:webHidden/>
              </w:rPr>
              <w:tab/>
            </w:r>
            <w:r w:rsidR="00306ACE">
              <w:rPr>
                <w:noProof/>
                <w:webHidden/>
              </w:rPr>
              <w:fldChar w:fldCharType="begin"/>
            </w:r>
            <w:r w:rsidR="00306ACE">
              <w:rPr>
                <w:noProof/>
                <w:webHidden/>
              </w:rPr>
              <w:instrText xml:space="preserve"> PAGEREF _Toc377727077 \h </w:instrText>
            </w:r>
            <w:r w:rsidR="00306ACE">
              <w:rPr>
                <w:noProof/>
                <w:webHidden/>
              </w:rPr>
            </w:r>
            <w:r w:rsidR="00306ACE">
              <w:rPr>
                <w:noProof/>
                <w:webHidden/>
              </w:rPr>
              <w:fldChar w:fldCharType="separate"/>
            </w:r>
            <w:r w:rsidR="0089696D">
              <w:rPr>
                <w:noProof/>
                <w:webHidden/>
              </w:rPr>
              <w:t>5</w:t>
            </w:r>
            <w:r w:rsidR="00306ACE">
              <w:rPr>
                <w:noProof/>
                <w:webHidden/>
              </w:rPr>
              <w:fldChar w:fldCharType="end"/>
            </w:r>
          </w:hyperlink>
        </w:p>
        <w:p w:rsidR="00306ACE" w:rsidRDefault="0005578C">
          <w:pPr>
            <w:pStyle w:val="TOC2"/>
            <w:tabs>
              <w:tab w:val="right" w:leader="dot" w:pos="12950"/>
            </w:tabs>
            <w:rPr>
              <w:rFonts w:eastAsiaTheme="minorEastAsia"/>
              <w:noProof/>
            </w:rPr>
          </w:pPr>
          <w:hyperlink w:anchor="_Toc377727078" w:history="1">
            <w:r w:rsidR="00306ACE" w:rsidRPr="00160A5D">
              <w:rPr>
                <w:rStyle w:val="Hyperlink"/>
                <w:noProof/>
              </w:rPr>
              <w:t>Gender</w:t>
            </w:r>
            <w:r w:rsidR="00306ACE">
              <w:rPr>
                <w:noProof/>
                <w:webHidden/>
              </w:rPr>
              <w:tab/>
            </w:r>
            <w:r w:rsidR="00306ACE">
              <w:rPr>
                <w:noProof/>
                <w:webHidden/>
              </w:rPr>
              <w:fldChar w:fldCharType="begin"/>
            </w:r>
            <w:r w:rsidR="00306ACE">
              <w:rPr>
                <w:noProof/>
                <w:webHidden/>
              </w:rPr>
              <w:instrText xml:space="preserve"> PAGEREF _Toc377727078 \h </w:instrText>
            </w:r>
            <w:r w:rsidR="00306ACE">
              <w:rPr>
                <w:noProof/>
                <w:webHidden/>
              </w:rPr>
            </w:r>
            <w:r w:rsidR="00306ACE">
              <w:rPr>
                <w:noProof/>
                <w:webHidden/>
              </w:rPr>
              <w:fldChar w:fldCharType="separate"/>
            </w:r>
            <w:r w:rsidR="0089696D">
              <w:rPr>
                <w:noProof/>
                <w:webHidden/>
              </w:rPr>
              <w:t>6</w:t>
            </w:r>
            <w:r w:rsidR="00306ACE">
              <w:rPr>
                <w:noProof/>
                <w:webHidden/>
              </w:rPr>
              <w:fldChar w:fldCharType="end"/>
            </w:r>
          </w:hyperlink>
        </w:p>
        <w:p w:rsidR="00306ACE" w:rsidRDefault="0005578C">
          <w:pPr>
            <w:pStyle w:val="TOC2"/>
            <w:tabs>
              <w:tab w:val="right" w:leader="dot" w:pos="12950"/>
            </w:tabs>
            <w:rPr>
              <w:rFonts w:eastAsiaTheme="minorEastAsia"/>
              <w:noProof/>
            </w:rPr>
          </w:pPr>
          <w:hyperlink w:anchor="_Toc377727079" w:history="1">
            <w:r w:rsidR="00306ACE" w:rsidRPr="00160A5D">
              <w:rPr>
                <w:rStyle w:val="Hyperlink"/>
                <w:noProof/>
              </w:rPr>
              <w:t>Race/Ethnicity</w:t>
            </w:r>
            <w:r w:rsidR="00306ACE">
              <w:rPr>
                <w:noProof/>
                <w:webHidden/>
              </w:rPr>
              <w:tab/>
            </w:r>
            <w:r w:rsidR="00306ACE">
              <w:rPr>
                <w:noProof/>
                <w:webHidden/>
              </w:rPr>
              <w:fldChar w:fldCharType="begin"/>
            </w:r>
            <w:r w:rsidR="00306ACE">
              <w:rPr>
                <w:noProof/>
                <w:webHidden/>
              </w:rPr>
              <w:instrText xml:space="preserve"> PAGEREF _Toc377727079 \h </w:instrText>
            </w:r>
            <w:r w:rsidR="00306ACE">
              <w:rPr>
                <w:noProof/>
                <w:webHidden/>
              </w:rPr>
            </w:r>
            <w:r w:rsidR="00306ACE">
              <w:rPr>
                <w:noProof/>
                <w:webHidden/>
              </w:rPr>
              <w:fldChar w:fldCharType="separate"/>
            </w:r>
            <w:r w:rsidR="0089696D">
              <w:rPr>
                <w:noProof/>
                <w:webHidden/>
              </w:rPr>
              <w:t>7</w:t>
            </w:r>
            <w:r w:rsidR="00306ACE">
              <w:rPr>
                <w:noProof/>
                <w:webHidden/>
              </w:rPr>
              <w:fldChar w:fldCharType="end"/>
            </w:r>
          </w:hyperlink>
        </w:p>
        <w:p w:rsidR="00306ACE" w:rsidRDefault="0005578C">
          <w:pPr>
            <w:pStyle w:val="TOC2"/>
            <w:tabs>
              <w:tab w:val="right" w:leader="dot" w:pos="12950"/>
            </w:tabs>
            <w:rPr>
              <w:rFonts w:eastAsiaTheme="minorEastAsia"/>
              <w:noProof/>
            </w:rPr>
          </w:pPr>
          <w:hyperlink w:anchor="_Toc377727080" w:history="1">
            <w:r w:rsidR="00306ACE" w:rsidRPr="00160A5D">
              <w:rPr>
                <w:rStyle w:val="Hyperlink"/>
                <w:noProof/>
              </w:rPr>
              <w:t>Household Size</w:t>
            </w:r>
            <w:r w:rsidR="00306ACE">
              <w:rPr>
                <w:noProof/>
                <w:webHidden/>
              </w:rPr>
              <w:tab/>
            </w:r>
            <w:r w:rsidR="00306ACE">
              <w:rPr>
                <w:noProof/>
                <w:webHidden/>
              </w:rPr>
              <w:fldChar w:fldCharType="begin"/>
            </w:r>
            <w:r w:rsidR="00306ACE">
              <w:rPr>
                <w:noProof/>
                <w:webHidden/>
              </w:rPr>
              <w:instrText xml:space="preserve"> PAGEREF _Toc377727080 \h </w:instrText>
            </w:r>
            <w:r w:rsidR="00306ACE">
              <w:rPr>
                <w:noProof/>
                <w:webHidden/>
              </w:rPr>
            </w:r>
            <w:r w:rsidR="00306ACE">
              <w:rPr>
                <w:noProof/>
                <w:webHidden/>
              </w:rPr>
              <w:fldChar w:fldCharType="separate"/>
            </w:r>
            <w:r w:rsidR="0089696D">
              <w:rPr>
                <w:noProof/>
                <w:webHidden/>
              </w:rPr>
              <w:t>9</w:t>
            </w:r>
            <w:r w:rsidR="00306ACE">
              <w:rPr>
                <w:noProof/>
                <w:webHidden/>
              </w:rPr>
              <w:fldChar w:fldCharType="end"/>
            </w:r>
          </w:hyperlink>
        </w:p>
        <w:p w:rsidR="00306ACE" w:rsidRDefault="0005578C">
          <w:pPr>
            <w:pStyle w:val="TOC2"/>
            <w:tabs>
              <w:tab w:val="right" w:leader="dot" w:pos="12950"/>
            </w:tabs>
            <w:rPr>
              <w:rFonts w:eastAsiaTheme="minorEastAsia"/>
              <w:noProof/>
            </w:rPr>
          </w:pPr>
          <w:hyperlink w:anchor="_Toc377727081" w:history="1">
            <w:r w:rsidR="00306ACE" w:rsidRPr="00160A5D">
              <w:rPr>
                <w:rStyle w:val="Hyperlink"/>
                <w:noProof/>
              </w:rPr>
              <w:t>Patients in Household</w:t>
            </w:r>
            <w:r w:rsidR="00306ACE">
              <w:rPr>
                <w:noProof/>
                <w:webHidden/>
              </w:rPr>
              <w:tab/>
            </w:r>
            <w:r w:rsidR="00306ACE">
              <w:rPr>
                <w:noProof/>
                <w:webHidden/>
              </w:rPr>
              <w:fldChar w:fldCharType="begin"/>
            </w:r>
            <w:r w:rsidR="00306ACE">
              <w:rPr>
                <w:noProof/>
                <w:webHidden/>
              </w:rPr>
              <w:instrText xml:space="preserve"> PAGEREF _Toc377727081 \h </w:instrText>
            </w:r>
            <w:r w:rsidR="00306ACE">
              <w:rPr>
                <w:noProof/>
                <w:webHidden/>
              </w:rPr>
            </w:r>
            <w:r w:rsidR="00306ACE">
              <w:rPr>
                <w:noProof/>
                <w:webHidden/>
              </w:rPr>
              <w:fldChar w:fldCharType="separate"/>
            </w:r>
            <w:r w:rsidR="0089696D">
              <w:rPr>
                <w:noProof/>
                <w:webHidden/>
              </w:rPr>
              <w:t>10</w:t>
            </w:r>
            <w:r w:rsidR="00306ACE">
              <w:rPr>
                <w:noProof/>
                <w:webHidden/>
              </w:rPr>
              <w:fldChar w:fldCharType="end"/>
            </w:r>
          </w:hyperlink>
        </w:p>
        <w:p w:rsidR="00306ACE" w:rsidRDefault="0005578C">
          <w:pPr>
            <w:pStyle w:val="TOC2"/>
            <w:tabs>
              <w:tab w:val="right" w:leader="dot" w:pos="12950"/>
            </w:tabs>
            <w:rPr>
              <w:rFonts w:eastAsiaTheme="minorEastAsia"/>
              <w:noProof/>
            </w:rPr>
          </w:pPr>
          <w:hyperlink w:anchor="_Toc377727082" w:history="1">
            <w:r w:rsidR="00306ACE" w:rsidRPr="00160A5D">
              <w:rPr>
                <w:rStyle w:val="Hyperlink"/>
                <w:noProof/>
              </w:rPr>
              <w:t>Income</w:t>
            </w:r>
            <w:r w:rsidR="00306ACE">
              <w:rPr>
                <w:noProof/>
                <w:webHidden/>
              </w:rPr>
              <w:tab/>
            </w:r>
            <w:r w:rsidR="00306ACE">
              <w:rPr>
                <w:noProof/>
                <w:webHidden/>
              </w:rPr>
              <w:fldChar w:fldCharType="begin"/>
            </w:r>
            <w:r w:rsidR="00306ACE">
              <w:rPr>
                <w:noProof/>
                <w:webHidden/>
              </w:rPr>
              <w:instrText xml:space="preserve"> PAGEREF _Toc377727082 \h </w:instrText>
            </w:r>
            <w:r w:rsidR="00306ACE">
              <w:rPr>
                <w:noProof/>
                <w:webHidden/>
              </w:rPr>
            </w:r>
            <w:r w:rsidR="00306ACE">
              <w:rPr>
                <w:noProof/>
                <w:webHidden/>
              </w:rPr>
              <w:fldChar w:fldCharType="separate"/>
            </w:r>
            <w:r w:rsidR="0089696D">
              <w:rPr>
                <w:noProof/>
                <w:webHidden/>
              </w:rPr>
              <w:t>11</w:t>
            </w:r>
            <w:r w:rsidR="00306ACE">
              <w:rPr>
                <w:noProof/>
                <w:webHidden/>
              </w:rPr>
              <w:fldChar w:fldCharType="end"/>
            </w:r>
          </w:hyperlink>
        </w:p>
        <w:p w:rsidR="00306ACE" w:rsidRDefault="0005578C">
          <w:pPr>
            <w:pStyle w:val="TOC1"/>
            <w:tabs>
              <w:tab w:val="right" w:leader="dot" w:pos="12950"/>
            </w:tabs>
            <w:rPr>
              <w:rFonts w:eastAsiaTheme="minorEastAsia"/>
              <w:noProof/>
            </w:rPr>
          </w:pPr>
          <w:hyperlink w:anchor="_Toc377727083" w:history="1">
            <w:r w:rsidR="00306ACE" w:rsidRPr="00160A5D">
              <w:rPr>
                <w:rStyle w:val="Hyperlink"/>
                <w:noProof/>
              </w:rPr>
              <w:t>Marketing</w:t>
            </w:r>
            <w:r w:rsidR="00306ACE">
              <w:rPr>
                <w:noProof/>
                <w:webHidden/>
              </w:rPr>
              <w:tab/>
            </w:r>
            <w:r w:rsidR="00306ACE">
              <w:rPr>
                <w:noProof/>
                <w:webHidden/>
              </w:rPr>
              <w:fldChar w:fldCharType="begin"/>
            </w:r>
            <w:r w:rsidR="00306ACE">
              <w:rPr>
                <w:noProof/>
                <w:webHidden/>
              </w:rPr>
              <w:instrText xml:space="preserve"> PAGEREF _Toc377727083 \h </w:instrText>
            </w:r>
            <w:r w:rsidR="00306ACE">
              <w:rPr>
                <w:noProof/>
                <w:webHidden/>
              </w:rPr>
            </w:r>
            <w:r w:rsidR="00306ACE">
              <w:rPr>
                <w:noProof/>
                <w:webHidden/>
              </w:rPr>
              <w:fldChar w:fldCharType="separate"/>
            </w:r>
            <w:r w:rsidR="0089696D">
              <w:rPr>
                <w:noProof/>
                <w:webHidden/>
              </w:rPr>
              <w:t>12</w:t>
            </w:r>
            <w:r w:rsidR="00306ACE">
              <w:rPr>
                <w:noProof/>
                <w:webHidden/>
              </w:rPr>
              <w:fldChar w:fldCharType="end"/>
            </w:r>
          </w:hyperlink>
        </w:p>
        <w:p w:rsidR="00306ACE" w:rsidRDefault="0005578C">
          <w:pPr>
            <w:pStyle w:val="TOC2"/>
            <w:tabs>
              <w:tab w:val="right" w:leader="dot" w:pos="12950"/>
            </w:tabs>
            <w:rPr>
              <w:rFonts w:eastAsiaTheme="minorEastAsia"/>
              <w:noProof/>
            </w:rPr>
          </w:pPr>
          <w:hyperlink w:anchor="_Toc377727084" w:history="1">
            <w:r w:rsidR="00306ACE" w:rsidRPr="00160A5D">
              <w:rPr>
                <w:rStyle w:val="Hyperlink"/>
                <w:noProof/>
              </w:rPr>
              <w:t>How Patients Learned about Services</w:t>
            </w:r>
            <w:r w:rsidR="00306ACE">
              <w:rPr>
                <w:noProof/>
                <w:webHidden/>
              </w:rPr>
              <w:tab/>
            </w:r>
            <w:r w:rsidR="00306ACE">
              <w:rPr>
                <w:noProof/>
                <w:webHidden/>
              </w:rPr>
              <w:fldChar w:fldCharType="begin"/>
            </w:r>
            <w:r w:rsidR="00306ACE">
              <w:rPr>
                <w:noProof/>
                <w:webHidden/>
              </w:rPr>
              <w:instrText xml:space="preserve"> PAGEREF _Toc377727084 \h </w:instrText>
            </w:r>
            <w:r w:rsidR="00306ACE">
              <w:rPr>
                <w:noProof/>
                <w:webHidden/>
              </w:rPr>
            </w:r>
            <w:r w:rsidR="00306ACE">
              <w:rPr>
                <w:noProof/>
                <w:webHidden/>
              </w:rPr>
              <w:fldChar w:fldCharType="separate"/>
            </w:r>
            <w:r w:rsidR="0089696D">
              <w:rPr>
                <w:noProof/>
                <w:webHidden/>
              </w:rPr>
              <w:t>12</w:t>
            </w:r>
            <w:r w:rsidR="00306ACE">
              <w:rPr>
                <w:noProof/>
                <w:webHidden/>
              </w:rPr>
              <w:fldChar w:fldCharType="end"/>
            </w:r>
          </w:hyperlink>
        </w:p>
        <w:p w:rsidR="00306ACE" w:rsidRDefault="0005578C">
          <w:pPr>
            <w:pStyle w:val="TOC2"/>
            <w:tabs>
              <w:tab w:val="right" w:leader="dot" w:pos="12950"/>
            </w:tabs>
            <w:rPr>
              <w:rFonts w:eastAsiaTheme="minorEastAsia"/>
              <w:noProof/>
            </w:rPr>
          </w:pPr>
          <w:hyperlink w:anchor="_Toc377727085" w:history="1">
            <w:r w:rsidR="00306ACE" w:rsidRPr="00160A5D">
              <w:rPr>
                <w:rStyle w:val="Hyperlink"/>
                <w:noProof/>
              </w:rPr>
              <w:t>Length of Time as a Patient</w:t>
            </w:r>
            <w:r w:rsidR="00306ACE">
              <w:rPr>
                <w:noProof/>
                <w:webHidden/>
              </w:rPr>
              <w:tab/>
            </w:r>
            <w:r w:rsidR="00306ACE">
              <w:rPr>
                <w:noProof/>
                <w:webHidden/>
              </w:rPr>
              <w:fldChar w:fldCharType="begin"/>
            </w:r>
            <w:r w:rsidR="00306ACE">
              <w:rPr>
                <w:noProof/>
                <w:webHidden/>
              </w:rPr>
              <w:instrText xml:space="preserve"> PAGEREF _Toc377727085 \h </w:instrText>
            </w:r>
            <w:r w:rsidR="00306ACE">
              <w:rPr>
                <w:noProof/>
                <w:webHidden/>
              </w:rPr>
            </w:r>
            <w:r w:rsidR="00306ACE">
              <w:rPr>
                <w:noProof/>
                <w:webHidden/>
              </w:rPr>
              <w:fldChar w:fldCharType="separate"/>
            </w:r>
            <w:r w:rsidR="0089696D">
              <w:rPr>
                <w:noProof/>
                <w:webHidden/>
              </w:rPr>
              <w:t>14</w:t>
            </w:r>
            <w:r w:rsidR="00306ACE">
              <w:rPr>
                <w:noProof/>
                <w:webHidden/>
              </w:rPr>
              <w:fldChar w:fldCharType="end"/>
            </w:r>
          </w:hyperlink>
        </w:p>
        <w:p w:rsidR="00306ACE" w:rsidRDefault="0005578C">
          <w:pPr>
            <w:pStyle w:val="TOC2"/>
            <w:tabs>
              <w:tab w:val="right" w:leader="dot" w:pos="12950"/>
            </w:tabs>
            <w:rPr>
              <w:rFonts w:eastAsiaTheme="minorEastAsia"/>
              <w:noProof/>
            </w:rPr>
          </w:pPr>
          <w:hyperlink w:anchor="_Toc377727086" w:history="1">
            <w:r w:rsidR="00306ACE" w:rsidRPr="00160A5D">
              <w:rPr>
                <w:rStyle w:val="Hyperlink"/>
                <w:noProof/>
              </w:rPr>
              <w:t>Most Important Reason for Coming to UF College of Dentistry</w:t>
            </w:r>
            <w:r w:rsidR="00306ACE">
              <w:rPr>
                <w:noProof/>
                <w:webHidden/>
              </w:rPr>
              <w:tab/>
            </w:r>
            <w:r w:rsidR="00306ACE">
              <w:rPr>
                <w:noProof/>
                <w:webHidden/>
              </w:rPr>
              <w:fldChar w:fldCharType="begin"/>
            </w:r>
            <w:r w:rsidR="00306ACE">
              <w:rPr>
                <w:noProof/>
                <w:webHidden/>
              </w:rPr>
              <w:instrText xml:space="preserve"> PAGEREF _Toc377727086 \h </w:instrText>
            </w:r>
            <w:r w:rsidR="00306ACE">
              <w:rPr>
                <w:noProof/>
                <w:webHidden/>
              </w:rPr>
            </w:r>
            <w:r w:rsidR="00306ACE">
              <w:rPr>
                <w:noProof/>
                <w:webHidden/>
              </w:rPr>
              <w:fldChar w:fldCharType="separate"/>
            </w:r>
            <w:r w:rsidR="0089696D">
              <w:rPr>
                <w:noProof/>
                <w:webHidden/>
              </w:rPr>
              <w:t>15</w:t>
            </w:r>
            <w:r w:rsidR="00306ACE">
              <w:rPr>
                <w:noProof/>
                <w:webHidden/>
              </w:rPr>
              <w:fldChar w:fldCharType="end"/>
            </w:r>
          </w:hyperlink>
        </w:p>
        <w:p w:rsidR="00306ACE" w:rsidRDefault="0005578C">
          <w:pPr>
            <w:pStyle w:val="TOC1"/>
            <w:tabs>
              <w:tab w:val="right" w:leader="dot" w:pos="12950"/>
            </w:tabs>
            <w:rPr>
              <w:rFonts w:eastAsiaTheme="minorEastAsia"/>
              <w:noProof/>
            </w:rPr>
          </w:pPr>
          <w:hyperlink w:anchor="_Toc377727087" w:history="1">
            <w:r w:rsidR="00306ACE" w:rsidRPr="00160A5D">
              <w:rPr>
                <w:rStyle w:val="Hyperlink"/>
                <w:noProof/>
              </w:rPr>
              <w:t>Patient Services</w:t>
            </w:r>
            <w:r w:rsidR="00306ACE">
              <w:rPr>
                <w:noProof/>
                <w:webHidden/>
              </w:rPr>
              <w:tab/>
            </w:r>
            <w:r w:rsidR="00306ACE">
              <w:rPr>
                <w:noProof/>
                <w:webHidden/>
              </w:rPr>
              <w:fldChar w:fldCharType="begin"/>
            </w:r>
            <w:r w:rsidR="00306ACE">
              <w:rPr>
                <w:noProof/>
                <w:webHidden/>
              </w:rPr>
              <w:instrText xml:space="preserve"> PAGEREF _Toc377727087 \h </w:instrText>
            </w:r>
            <w:r w:rsidR="00306ACE">
              <w:rPr>
                <w:noProof/>
                <w:webHidden/>
              </w:rPr>
            </w:r>
            <w:r w:rsidR="00306ACE">
              <w:rPr>
                <w:noProof/>
                <w:webHidden/>
              </w:rPr>
              <w:fldChar w:fldCharType="separate"/>
            </w:r>
            <w:r w:rsidR="0089696D">
              <w:rPr>
                <w:noProof/>
                <w:webHidden/>
              </w:rPr>
              <w:t>18</w:t>
            </w:r>
            <w:r w:rsidR="00306ACE">
              <w:rPr>
                <w:noProof/>
                <w:webHidden/>
              </w:rPr>
              <w:fldChar w:fldCharType="end"/>
            </w:r>
          </w:hyperlink>
        </w:p>
        <w:p w:rsidR="00306ACE" w:rsidRDefault="0005578C">
          <w:pPr>
            <w:pStyle w:val="TOC2"/>
            <w:tabs>
              <w:tab w:val="right" w:leader="dot" w:pos="12950"/>
            </w:tabs>
            <w:rPr>
              <w:rFonts w:eastAsiaTheme="minorEastAsia"/>
              <w:noProof/>
            </w:rPr>
          </w:pPr>
          <w:hyperlink w:anchor="_Toc377727088" w:history="1">
            <w:r w:rsidR="00306ACE" w:rsidRPr="00160A5D">
              <w:rPr>
                <w:rStyle w:val="Hyperlink"/>
                <w:noProof/>
              </w:rPr>
              <w:t>Length of Time to First Appointment</w:t>
            </w:r>
            <w:r w:rsidR="00306ACE">
              <w:rPr>
                <w:noProof/>
                <w:webHidden/>
              </w:rPr>
              <w:tab/>
            </w:r>
            <w:r w:rsidR="00306ACE">
              <w:rPr>
                <w:noProof/>
                <w:webHidden/>
              </w:rPr>
              <w:fldChar w:fldCharType="begin"/>
            </w:r>
            <w:r w:rsidR="00306ACE">
              <w:rPr>
                <w:noProof/>
                <w:webHidden/>
              </w:rPr>
              <w:instrText xml:space="preserve"> PAGEREF _Toc377727088 \h </w:instrText>
            </w:r>
            <w:r w:rsidR="00306ACE">
              <w:rPr>
                <w:noProof/>
                <w:webHidden/>
              </w:rPr>
            </w:r>
            <w:r w:rsidR="00306ACE">
              <w:rPr>
                <w:noProof/>
                <w:webHidden/>
              </w:rPr>
              <w:fldChar w:fldCharType="separate"/>
            </w:r>
            <w:r w:rsidR="0089696D">
              <w:rPr>
                <w:noProof/>
                <w:webHidden/>
              </w:rPr>
              <w:t>18</w:t>
            </w:r>
            <w:r w:rsidR="00306ACE">
              <w:rPr>
                <w:noProof/>
                <w:webHidden/>
              </w:rPr>
              <w:fldChar w:fldCharType="end"/>
            </w:r>
          </w:hyperlink>
        </w:p>
        <w:p w:rsidR="00306ACE" w:rsidRDefault="0005578C">
          <w:pPr>
            <w:pStyle w:val="TOC2"/>
            <w:tabs>
              <w:tab w:val="right" w:leader="dot" w:pos="12950"/>
            </w:tabs>
            <w:rPr>
              <w:rFonts w:eastAsiaTheme="minorEastAsia"/>
              <w:noProof/>
            </w:rPr>
          </w:pPr>
          <w:hyperlink w:anchor="_Toc377727089" w:history="1">
            <w:r w:rsidR="00306ACE" w:rsidRPr="00160A5D">
              <w:rPr>
                <w:rStyle w:val="Hyperlink"/>
                <w:noProof/>
              </w:rPr>
              <w:t>Time Spent, Directions, &amp; Registration Information</w:t>
            </w:r>
            <w:r w:rsidR="00306ACE">
              <w:rPr>
                <w:noProof/>
                <w:webHidden/>
              </w:rPr>
              <w:tab/>
            </w:r>
            <w:r w:rsidR="00306ACE">
              <w:rPr>
                <w:noProof/>
                <w:webHidden/>
              </w:rPr>
              <w:fldChar w:fldCharType="begin"/>
            </w:r>
            <w:r w:rsidR="00306ACE">
              <w:rPr>
                <w:noProof/>
                <w:webHidden/>
              </w:rPr>
              <w:instrText xml:space="preserve"> PAGEREF _Toc377727089 \h </w:instrText>
            </w:r>
            <w:r w:rsidR="00306ACE">
              <w:rPr>
                <w:noProof/>
                <w:webHidden/>
              </w:rPr>
            </w:r>
            <w:r w:rsidR="00306ACE">
              <w:rPr>
                <w:noProof/>
                <w:webHidden/>
              </w:rPr>
              <w:fldChar w:fldCharType="separate"/>
            </w:r>
            <w:r w:rsidR="0089696D">
              <w:rPr>
                <w:noProof/>
                <w:webHidden/>
              </w:rPr>
              <w:t>19</w:t>
            </w:r>
            <w:r w:rsidR="00306ACE">
              <w:rPr>
                <w:noProof/>
                <w:webHidden/>
              </w:rPr>
              <w:fldChar w:fldCharType="end"/>
            </w:r>
          </w:hyperlink>
        </w:p>
        <w:p w:rsidR="00306ACE" w:rsidRDefault="0005578C">
          <w:pPr>
            <w:pStyle w:val="TOC2"/>
            <w:tabs>
              <w:tab w:val="right" w:leader="dot" w:pos="12950"/>
            </w:tabs>
            <w:rPr>
              <w:rFonts w:eastAsiaTheme="minorEastAsia"/>
              <w:noProof/>
            </w:rPr>
          </w:pPr>
          <w:hyperlink w:anchor="_Toc377727090" w:history="1">
            <w:r w:rsidR="00306ACE" w:rsidRPr="00160A5D">
              <w:rPr>
                <w:rStyle w:val="Hyperlink"/>
                <w:noProof/>
              </w:rPr>
              <w:t>Appearance of Reception Area</w:t>
            </w:r>
            <w:r w:rsidR="00306ACE">
              <w:rPr>
                <w:noProof/>
                <w:webHidden/>
              </w:rPr>
              <w:tab/>
            </w:r>
            <w:r w:rsidR="00306ACE">
              <w:rPr>
                <w:noProof/>
                <w:webHidden/>
              </w:rPr>
              <w:fldChar w:fldCharType="begin"/>
            </w:r>
            <w:r w:rsidR="00306ACE">
              <w:rPr>
                <w:noProof/>
                <w:webHidden/>
              </w:rPr>
              <w:instrText xml:space="preserve"> PAGEREF _Toc377727090 \h </w:instrText>
            </w:r>
            <w:r w:rsidR="00306ACE">
              <w:rPr>
                <w:noProof/>
                <w:webHidden/>
              </w:rPr>
            </w:r>
            <w:r w:rsidR="00306ACE">
              <w:rPr>
                <w:noProof/>
                <w:webHidden/>
              </w:rPr>
              <w:fldChar w:fldCharType="separate"/>
            </w:r>
            <w:r w:rsidR="0089696D">
              <w:rPr>
                <w:noProof/>
                <w:webHidden/>
              </w:rPr>
              <w:t>23</w:t>
            </w:r>
            <w:r w:rsidR="00306ACE">
              <w:rPr>
                <w:noProof/>
                <w:webHidden/>
              </w:rPr>
              <w:fldChar w:fldCharType="end"/>
            </w:r>
          </w:hyperlink>
        </w:p>
        <w:p w:rsidR="00306ACE" w:rsidRDefault="0005578C">
          <w:pPr>
            <w:pStyle w:val="TOC2"/>
            <w:tabs>
              <w:tab w:val="right" w:leader="dot" w:pos="12950"/>
            </w:tabs>
            <w:rPr>
              <w:rFonts w:eastAsiaTheme="minorEastAsia"/>
              <w:noProof/>
            </w:rPr>
          </w:pPr>
          <w:hyperlink w:anchor="_Toc377727091" w:history="1">
            <w:r w:rsidR="00306ACE" w:rsidRPr="00160A5D">
              <w:rPr>
                <w:rStyle w:val="Hyperlink"/>
                <w:noProof/>
              </w:rPr>
              <w:t>Cleanliness of Dental Centers</w:t>
            </w:r>
            <w:r w:rsidR="00306ACE">
              <w:rPr>
                <w:noProof/>
                <w:webHidden/>
              </w:rPr>
              <w:tab/>
            </w:r>
            <w:r w:rsidR="00306ACE">
              <w:rPr>
                <w:noProof/>
                <w:webHidden/>
              </w:rPr>
              <w:fldChar w:fldCharType="begin"/>
            </w:r>
            <w:r w:rsidR="00306ACE">
              <w:rPr>
                <w:noProof/>
                <w:webHidden/>
              </w:rPr>
              <w:instrText xml:space="preserve"> PAGEREF _Toc377727091 \h </w:instrText>
            </w:r>
            <w:r w:rsidR="00306ACE">
              <w:rPr>
                <w:noProof/>
                <w:webHidden/>
              </w:rPr>
            </w:r>
            <w:r w:rsidR="00306ACE">
              <w:rPr>
                <w:noProof/>
                <w:webHidden/>
              </w:rPr>
              <w:fldChar w:fldCharType="separate"/>
            </w:r>
            <w:r w:rsidR="0089696D">
              <w:rPr>
                <w:noProof/>
                <w:webHidden/>
              </w:rPr>
              <w:t>25</w:t>
            </w:r>
            <w:r w:rsidR="00306ACE">
              <w:rPr>
                <w:noProof/>
                <w:webHidden/>
              </w:rPr>
              <w:fldChar w:fldCharType="end"/>
            </w:r>
          </w:hyperlink>
        </w:p>
        <w:p w:rsidR="00306ACE" w:rsidRDefault="0005578C">
          <w:pPr>
            <w:pStyle w:val="TOC2"/>
            <w:tabs>
              <w:tab w:val="right" w:leader="dot" w:pos="12950"/>
            </w:tabs>
            <w:rPr>
              <w:rFonts w:eastAsiaTheme="minorEastAsia"/>
              <w:noProof/>
            </w:rPr>
          </w:pPr>
          <w:hyperlink w:anchor="_Toc377727092" w:history="1">
            <w:r w:rsidR="00306ACE" w:rsidRPr="00160A5D">
              <w:rPr>
                <w:rStyle w:val="Hyperlink"/>
                <w:noProof/>
              </w:rPr>
              <w:t>Cleanliness of Restrooms</w:t>
            </w:r>
            <w:r w:rsidR="00306ACE">
              <w:rPr>
                <w:noProof/>
                <w:webHidden/>
              </w:rPr>
              <w:tab/>
            </w:r>
            <w:r w:rsidR="00306ACE">
              <w:rPr>
                <w:noProof/>
                <w:webHidden/>
              </w:rPr>
              <w:fldChar w:fldCharType="begin"/>
            </w:r>
            <w:r w:rsidR="00306ACE">
              <w:rPr>
                <w:noProof/>
                <w:webHidden/>
              </w:rPr>
              <w:instrText xml:space="preserve"> PAGEREF _Toc377727092 \h </w:instrText>
            </w:r>
            <w:r w:rsidR="00306ACE">
              <w:rPr>
                <w:noProof/>
                <w:webHidden/>
              </w:rPr>
            </w:r>
            <w:r w:rsidR="00306ACE">
              <w:rPr>
                <w:noProof/>
                <w:webHidden/>
              </w:rPr>
              <w:fldChar w:fldCharType="separate"/>
            </w:r>
            <w:r w:rsidR="0089696D">
              <w:rPr>
                <w:noProof/>
                <w:webHidden/>
              </w:rPr>
              <w:t>27</w:t>
            </w:r>
            <w:r w:rsidR="00306ACE">
              <w:rPr>
                <w:noProof/>
                <w:webHidden/>
              </w:rPr>
              <w:fldChar w:fldCharType="end"/>
            </w:r>
          </w:hyperlink>
        </w:p>
        <w:p w:rsidR="00306ACE" w:rsidRDefault="0005578C">
          <w:pPr>
            <w:pStyle w:val="TOC2"/>
            <w:tabs>
              <w:tab w:val="right" w:leader="dot" w:pos="12950"/>
            </w:tabs>
            <w:rPr>
              <w:rFonts w:eastAsiaTheme="minorEastAsia"/>
              <w:noProof/>
            </w:rPr>
          </w:pPr>
          <w:hyperlink w:anchor="_Toc377727093" w:history="1">
            <w:r w:rsidR="00306ACE" w:rsidRPr="00160A5D">
              <w:rPr>
                <w:rStyle w:val="Hyperlink"/>
                <w:noProof/>
              </w:rPr>
              <w:t>Overall Quality of Care</w:t>
            </w:r>
            <w:r w:rsidR="00306ACE">
              <w:rPr>
                <w:noProof/>
                <w:webHidden/>
              </w:rPr>
              <w:tab/>
            </w:r>
            <w:r w:rsidR="00306ACE">
              <w:rPr>
                <w:noProof/>
                <w:webHidden/>
              </w:rPr>
              <w:fldChar w:fldCharType="begin"/>
            </w:r>
            <w:r w:rsidR="00306ACE">
              <w:rPr>
                <w:noProof/>
                <w:webHidden/>
              </w:rPr>
              <w:instrText xml:space="preserve"> PAGEREF _Toc377727093 \h </w:instrText>
            </w:r>
            <w:r w:rsidR="00306ACE">
              <w:rPr>
                <w:noProof/>
                <w:webHidden/>
              </w:rPr>
            </w:r>
            <w:r w:rsidR="00306ACE">
              <w:rPr>
                <w:noProof/>
                <w:webHidden/>
              </w:rPr>
              <w:fldChar w:fldCharType="separate"/>
            </w:r>
            <w:r w:rsidR="0089696D">
              <w:rPr>
                <w:noProof/>
                <w:webHidden/>
              </w:rPr>
              <w:t>29</w:t>
            </w:r>
            <w:r w:rsidR="00306ACE">
              <w:rPr>
                <w:noProof/>
                <w:webHidden/>
              </w:rPr>
              <w:fldChar w:fldCharType="end"/>
            </w:r>
          </w:hyperlink>
        </w:p>
        <w:p w:rsidR="00306ACE" w:rsidRDefault="0005578C">
          <w:pPr>
            <w:pStyle w:val="TOC2"/>
            <w:tabs>
              <w:tab w:val="right" w:leader="dot" w:pos="12950"/>
            </w:tabs>
            <w:rPr>
              <w:rFonts w:eastAsiaTheme="minorEastAsia"/>
              <w:noProof/>
            </w:rPr>
          </w:pPr>
          <w:hyperlink w:anchor="_Toc377727094" w:history="1">
            <w:r w:rsidR="00306ACE" w:rsidRPr="00160A5D">
              <w:rPr>
                <w:rStyle w:val="Hyperlink"/>
                <w:noProof/>
              </w:rPr>
              <w:t>Treatment by Dental Care Provider</w:t>
            </w:r>
            <w:r w:rsidR="00306ACE">
              <w:rPr>
                <w:noProof/>
                <w:webHidden/>
              </w:rPr>
              <w:tab/>
            </w:r>
            <w:r w:rsidR="00306ACE">
              <w:rPr>
                <w:noProof/>
                <w:webHidden/>
              </w:rPr>
              <w:fldChar w:fldCharType="begin"/>
            </w:r>
            <w:r w:rsidR="00306ACE">
              <w:rPr>
                <w:noProof/>
                <w:webHidden/>
              </w:rPr>
              <w:instrText xml:space="preserve"> PAGEREF _Toc377727094 \h </w:instrText>
            </w:r>
            <w:r w:rsidR="00306ACE">
              <w:rPr>
                <w:noProof/>
                <w:webHidden/>
              </w:rPr>
            </w:r>
            <w:r w:rsidR="00306ACE">
              <w:rPr>
                <w:noProof/>
                <w:webHidden/>
              </w:rPr>
              <w:fldChar w:fldCharType="separate"/>
            </w:r>
            <w:r w:rsidR="0089696D">
              <w:rPr>
                <w:noProof/>
                <w:webHidden/>
              </w:rPr>
              <w:t>31</w:t>
            </w:r>
            <w:r w:rsidR="00306ACE">
              <w:rPr>
                <w:noProof/>
                <w:webHidden/>
              </w:rPr>
              <w:fldChar w:fldCharType="end"/>
            </w:r>
          </w:hyperlink>
        </w:p>
        <w:p w:rsidR="00306ACE" w:rsidRDefault="0005578C">
          <w:pPr>
            <w:pStyle w:val="TOC2"/>
            <w:tabs>
              <w:tab w:val="right" w:leader="dot" w:pos="12950"/>
            </w:tabs>
            <w:rPr>
              <w:rFonts w:eastAsiaTheme="minorEastAsia"/>
              <w:noProof/>
            </w:rPr>
          </w:pPr>
          <w:hyperlink w:anchor="_Toc377727095" w:history="1">
            <w:r w:rsidR="00306ACE" w:rsidRPr="00160A5D">
              <w:rPr>
                <w:rStyle w:val="Hyperlink"/>
                <w:noProof/>
              </w:rPr>
              <w:t>Treatment when Calling the College of Dentistry</w:t>
            </w:r>
            <w:r w:rsidR="00306ACE">
              <w:rPr>
                <w:noProof/>
                <w:webHidden/>
              </w:rPr>
              <w:tab/>
            </w:r>
            <w:r w:rsidR="00306ACE">
              <w:rPr>
                <w:noProof/>
                <w:webHidden/>
              </w:rPr>
              <w:fldChar w:fldCharType="begin"/>
            </w:r>
            <w:r w:rsidR="00306ACE">
              <w:rPr>
                <w:noProof/>
                <w:webHidden/>
              </w:rPr>
              <w:instrText xml:space="preserve"> PAGEREF _Toc377727095 \h </w:instrText>
            </w:r>
            <w:r w:rsidR="00306ACE">
              <w:rPr>
                <w:noProof/>
                <w:webHidden/>
              </w:rPr>
            </w:r>
            <w:r w:rsidR="00306ACE">
              <w:rPr>
                <w:noProof/>
                <w:webHidden/>
              </w:rPr>
              <w:fldChar w:fldCharType="separate"/>
            </w:r>
            <w:r w:rsidR="0089696D">
              <w:rPr>
                <w:noProof/>
                <w:webHidden/>
              </w:rPr>
              <w:t>33</w:t>
            </w:r>
            <w:r w:rsidR="00306ACE">
              <w:rPr>
                <w:noProof/>
                <w:webHidden/>
              </w:rPr>
              <w:fldChar w:fldCharType="end"/>
            </w:r>
          </w:hyperlink>
        </w:p>
        <w:p w:rsidR="00EF14FE" w:rsidRDefault="0005578C" w:rsidP="00AA45F0">
          <w:pPr>
            <w:pStyle w:val="TOC2"/>
            <w:tabs>
              <w:tab w:val="right" w:leader="dot" w:pos="12950"/>
            </w:tabs>
          </w:pPr>
          <w:hyperlink w:anchor="_Toc377727096" w:history="1">
            <w:r w:rsidR="00306ACE" w:rsidRPr="00160A5D">
              <w:rPr>
                <w:rStyle w:val="Hyperlink"/>
                <w:noProof/>
              </w:rPr>
              <w:t>Treatment by Staff</w:t>
            </w:r>
            <w:r w:rsidR="00306ACE">
              <w:rPr>
                <w:noProof/>
                <w:webHidden/>
              </w:rPr>
              <w:tab/>
            </w:r>
            <w:r w:rsidR="00306ACE">
              <w:rPr>
                <w:noProof/>
                <w:webHidden/>
              </w:rPr>
              <w:fldChar w:fldCharType="begin"/>
            </w:r>
            <w:r w:rsidR="00306ACE">
              <w:rPr>
                <w:noProof/>
                <w:webHidden/>
              </w:rPr>
              <w:instrText xml:space="preserve"> PAGEREF _Toc377727096 \h </w:instrText>
            </w:r>
            <w:r w:rsidR="00306ACE">
              <w:rPr>
                <w:noProof/>
                <w:webHidden/>
              </w:rPr>
            </w:r>
            <w:r w:rsidR="00306ACE">
              <w:rPr>
                <w:noProof/>
                <w:webHidden/>
              </w:rPr>
              <w:fldChar w:fldCharType="separate"/>
            </w:r>
            <w:r w:rsidR="0089696D">
              <w:rPr>
                <w:noProof/>
                <w:webHidden/>
              </w:rPr>
              <w:t>35</w:t>
            </w:r>
            <w:r w:rsidR="00306ACE">
              <w:rPr>
                <w:noProof/>
                <w:webHidden/>
              </w:rPr>
              <w:fldChar w:fldCharType="end"/>
            </w:r>
          </w:hyperlink>
          <w:r w:rsidR="003526CC">
            <w:fldChar w:fldCharType="end"/>
          </w:r>
        </w:p>
      </w:sdtContent>
    </w:sdt>
    <w:p w:rsidR="00675D57" w:rsidRDefault="00EA6881" w:rsidP="00BC2AC0">
      <w:pPr>
        <w:pStyle w:val="Heading1"/>
        <w:spacing w:before="0"/>
      </w:pPr>
      <w:bookmarkStart w:id="0" w:name="_Toc377727073"/>
      <w:r>
        <w:lastRenderedPageBreak/>
        <w:t>Introduction</w:t>
      </w:r>
      <w:bookmarkEnd w:id="0"/>
    </w:p>
    <w:p w:rsidR="00BC2AC0" w:rsidRDefault="00BC2AC0" w:rsidP="00EA6881">
      <w:pPr>
        <w:pStyle w:val="NoSpacing"/>
      </w:pPr>
    </w:p>
    <w:p w:rsidR="00EA6881" w:rsidRDefault="00EA6881" w:rsidP="00EA6881">
      <w:pPr>
        <w:pStyle w:val="NoSpacing"/>
      </w:pPr>
      <w:r>
        <w:t xml:space="preserve">The University </w:t>
      </w:r>
      <w:proofErr w:type="gramStart"/>
      <w:r>
        <w:t>of Florida College of</w:t>
      </w:r>
      <w:proofErr w:type="gramEnd"/>
      <w:r>
        <w:t xml:space="preserve"> Dentistry conducts a ‘Patient Satisfaction Survey’ during a one-week period each year.  A two-page survey is distributed to patients at this time.  Completed surveys are collected, data reduced, and analyzed.  </w:t>
      </w:r>
      <w:r w:rsidR="00BC2AC0">
        <w:t xml:space="preserve">This report presents a </w:t>
      </w:r>
      <w:r>
        <w:t>summary of the results of the UF College of Dentistry Patient Satisfaction Survey</w:t>
      </w:r>
      <w:r w:rsidR="00BC2AC0">
        <w:t xml:space="preserve"> 201</w:t>
      </w:r>
      <w:r w:rsidR="00587000">
        <w:t>4</w:t>
      </w:r>
      <w:r w:rsidR="002B6F28">
        <w:t xml:space="preserve"> by clinic.</w:t>
      </w:r>
    </w:p>
    <w:p w:rsidR="008F2A5E" w:rsidRDefault="00705084" w:rsidP="00AA32AA">
      <w:pPr>
        <w:pStyle w:val="Heading2"/>
      </w:pPr>
      <w:bookmarkStart w:id="1" w:name="_Toc377727074"/>
      <w:r>
        <w:t>Percentage of Surveys Completed to Patients Seen</w:t>
      </w:r>
      <w:r w:rsidR="008F2A5E">
        <w:t xml:space="preserve"> by Clinics</w:t>
      </w:r>
      <w:bookmarkEnd w:id="1"/>
    </w:p>
    <w:p w:rsidR="00C94F82" w:rsidRDefault="00C94F82" w:rsidP="00C94F82"/>
    <w:p w:rsidR="00705084" w:rsidRDefault="00705084" w:rsidP="00705084">
      <w:pPr>
        <w:pStyle w:val="NoSpacing"/>
      </w:pPr>
      <w:r>
        <w:t>The following table shows the percentage of Patient Satisfaction Surveys completed per the number of patients seen by clinic.</w:t>
      </w:r>
    </w:p>
    <w:p w:rsidR="00DC363C" w:rsidRDefault="00DC363C" w:rsidP="00705084">
      <w:pPr>
        <w:pStyle w:val="NoSpacing"/>
      </w:pPr>
    </w:p>
    <w:p w:rsidR="00DC363C" w:rsidRDefault="0005578C" w:rsidP="00705084">
      <w:pPr>
        <w:pStyle w:val="NoSpacing"/>
      </w:pPr>
      <w:r>
        <w:rPr>
          <w:noProof/>
        </w:rPr>
        <w:drawing>
          <wp:inline distT="0" distB="0" distL="0" distR="0" wp14:anchorId="729FA2EE" wp14:editId="0E381F45">
            <wp:extent cx="8153400" cy="3162300"/>
            <wp:effectExtent l="0" t="0" r="19050" b="1905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C363C" w:rsidRDefault="00DC363C" w:rsidP="00705084">
      <w:pPr>
        <w:pStyle w:val="NoSpacing"/>
      </w:pPr>
    </w:p>
    <w:p w:rsidR="00B715F3" w:rsidRDefault="00B715F3" w:rsidP="00B715F3">
      <w:r>
        <w:t>Each of the Student Clinics obtained completed surveys from a high percentage (</w:t>
      </w:r>
      <w:r w:rsidR="001721BA">
        <w:t>one-half</w:t>
      </w:r>
      <w:r>
        <w:t xml:space="preserve"> or more) of the patients who visited the clinic during the study period. </w:t>
      </w:r>
      <w:r w:rsidR="00DC363C">
        <w:t xml:space="preserve">Overall, the highest percentage of surveys completed is for the </w:t>
      </w:r>
      <w:r w:rsidR="0033565D">
        <w:t xml:space="preserve">Graduate </w:t>
      </w:r>
      <w:r w:rsidR="00587000">
        <w:t>Prosthodontics</w:t>
      </w:r>
      <w:r w:rsidR="0033565D">
        <w:t xml:space="preserve"> (G</w:t>
      </w:r>
      <w:r w:rsidR="00587000">
        <w:t>PR</w:t>
      </w:r>
      <w:r w:rsidR="0033565D">
        <w:t>)</w:t>
      </w:r>
      <w:r w:rsidR="0081539F">
        <w:t xml:space="preserve"> clinic</w:t>
      </w:r>
      <w:r w:rsidR="00DC363C">
        <w:t xml:space="preserve"> at </w:t>
      </w:r>
      <w:r w:rsidR="001721BA">
        <w:t>9</w:t>
      </w:r>
      <w:r w:rsidR="00587000">
        <w:t>3.3</w:t>
      </w:r>
      <w:r w:rsidR="00DC363C">
        <w:t xml:space="preserve"> </w:t>
      </w:r>
      <w:r w:rsidR="0081539F">
        <w:t>percent</w:t>
      </w:r>
      <w:r w:rsidR="00DC363C">
        <w:t>.</w:t>
      </w:r>
    </w:p>
    <w:p w:rsidR="00E75179" w:rsidRDefault="00E75179" w:rsidP="00E75179">
      <w:pPr>
        <w:rPr>
          <w:sz w:val="20"/>
          <w:szCs w:val="20"/>
        </w:rPr>
      </w:pPr>
    </w:p>
    <w:p w:rsidR="00E75179" w:rsidRPr="00B6750C" w:rsidRDefault="00E75179" w:rsidP="00E75179">
      <w:pPr>
        <w:rPr>
          <w:sz w:val="20"/>
          <w:szCs w:val="20"/>
        </w:rPr>
      </w:pPr>
      <w:r>
        <w:rPr>
          <w:sz w:val="20"/>
          <w:szCs w:val="20"/>
        </w:rPr>
        <w:t xml:space="preserve">*Note: </w:t>
      </w:r>
      <w:r w:rsidR="00E746D4" w:rsidRPr="00B6750C">
        <w:rPr>
          <w:sz w:val="20"/>
          <w:szCs w:val="20"/>
        </w:rPr>
        <w:t>The Figure utilizes calculations provided by the UF College of Dentistry based on number of surveys submitted</w:t>
      </w:r>
      <w:r w:rsidR="00E746D4">
        <w:rPr>
          <w:sz w:val="20"/>
          <w:szCs w:val="20"/>
        </w:rPr>
        <w:t xml:space="preserve"> (</w:t>
      </w:r>
      <w:r w:rsidR="00587000">
        <w:rPr>
          <w:sz w:val="20"/>
          <w:szCs w:val="20"/>
        </w:rPr>
        <w:t>938</w:t>
      </w:r>
      <w:r w:rsidR="00E746D4">
        <w:rPr>
          <w:sz w:val="20"/>
          <w:szCs w:val="20"/>
        </w:rPr>
        <w:t>) rather than the</w:t>
      </w:r>
      <w:r w:rsidR="00587000">
        <w:rPr>
          <w:sz w:val="20"/>
          <w:szCs w:val="20"/>
        </w:rPr>
        <w:t xml:space="preserve"> number of usable surveys (901</w:t>
      </w:r>
      <w:r w:rsidR="00E746D4">
        <w:rPr>
          <w:sz w:val="20"/>
          <w:szCs w:val="20"/>
        </w:rPr>
        <w:t xml:space="preserve">) </w:t>
      </w:r>
      <w:r w:rsidR="00E746D4" w:rsidRPr="00B6750C">
        <w:rPr>
          <w:sz w:val="20"/>
          <w:szCs w:val="20"/>
        </w:rPr>
        <w:t>data-reduced by the</w:t>
      </w:r>
      <w:r w:rsidR="00E746D4">
        <w:rPr>
          <w:sz w:val="20"/>
          <w:szCs w:val="20"/>
        </w:rPr>
        <w:t xml:space="preserve"> </w:t>
      </w:r>
      <w:r w:rsidR="00E746D4" w:rsidRPr="00B6750C">
        <w:rPr>
          <w:sz w:val="20"/>
          <w:szCs w:val="20"/>
        </w:rPr>
        <w:t xml:space="preserve">FSRC in the calculations </w:t>
      </w:r>
      <w:r w:rsidR="00E746D4">
        <w:rPr>
          <w:sz w:val="20"/>
          <w:szCs w:val="20"/>
        </w:rPr>
        <w:t>used throughout the report</w:t>
      </w:r>
      <w:r w:rsidR="00E746D4" w:rsidRPr="00B6750C">
        <w:rPr>
          <w:sz w:val="20"/>
          <w:szCs w:val="20"/>
        </w:rPr>
        <w:t>.</w:t>
      </w:r>
    </w:p>
    <w:p w:rsidR="00AA32AA" w:rsidRDefault="00AA32AA" w:rsidP="00FD6E36">
      <w:pPr>
        <w:pStyle w:val="Heading2"/>
      </w:pPr>
      <w:bookmarkStart w:id="2" w:name="_Toc377727075"/>
      <w:r>
        <w:lastRenderedPageBreak/>
        <w:t xml:space="preserve">Response by </w:t>
      </w:r>
      <w:r w:rsidR="00927E64">
        <w:t>Clinic</w:t>
      </w:r>
      <w:bookmarkStart w:id="3" w:name="_GoBack"/>
      <w:bookmarkEnd w:id="2"/>
      <w:bookmarkEnd w:id="3"/>
    </w:p>
    <w:p w:rsidR="00705084" w:rsidRPr="00705084" w:rsidRDefault="00705084" w:rsidP="00705084"/>
    <w:p w:rsidR="00927E64" w:rsidRDefault="003D065C" w:rsidP="009E6B9D">
      <w:pPr>
        <w:spacing w:after="200" w:line="276" w:lineRule="auto"/>
        <w:jc w:val="center"/>
      </w:pPr>
      <w:r>
        <w:rPr>
          <w:noProof/>
        </w:rPr>
        <w:drawing>
          <wp:inline distT="0" distB="0" distL="0" distR="0">
            <wp:extent cx="8134350" cy="3476625"/>
            <wp:effectExtent l="0" t="0" r="1905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E6B9D" w:rsidRDefault="00B715F3" w:rsidP="00587000">
      <w:r>
        <w:t>There is substantial variation in the number of survey</w:t>
      </w:r>
      <w:r w:rsidR="009520AA">
        <w:t>s</w:t>
      </w:r>
      <w:r>
        <w:t xml:space="preserve"> completed by clinic.  </w:t>
      </w:r>
      <w:r w:rsidR="00CF4F48">
        <w:t>Student Clinic 2B</w:t>
      </w:r>
      <w:r>
        <w:t xml:space="preserve"> had the highest </w:t>
      </w:r>
      <w:r w:rsidR="0081539F">
        <w:t>number of completed surveys (N=</w:t>
      </w:r>
      <w:r w:rsidR="00E75179">
        <w:t>1</w:t>
      </w:r>
      <w:r w:rsidR="00CF4F48">
        <w:t>4</w:t>
      </w:r>
      <w:r w:rsidR="00587000">
        <w:t>9</w:t>
      </w:r>
      <w:r w:rsidR="0081539F">
        <w:t>)</w:t>
      </w:r>
      <w:r>
        <w:t xml:space="preserve">.  </w:t>
      </w:r>
      <w:r w:rsidR="00927E64">
        <w:t xml:space="preserve">For the purposes of this report, </w:t>
      </w:r>
      <w:r w:rsidR="00CF4F48">
        <w:t>C</w:t>
      </w:r>
      <w:r w:rsidR="00927E64">
        <w:t>linical Care Group 2A (N=</w:t>
      </w:r>
      <w:r w:rsidR="00CF4F48">
        <w:t>10</w:t>
      </w:r>
      <w:r w:rsidR="00E75179">
        <w:t>0</w:t>
      </w:r>
      <w:r w:rsidR="00927E64">
        <w:t>), Clinical Care Group 2B (N=</w:t>
      </w:r>
      <w:r w:rsidR="00CF4F48">
        <w:t>1</w:t>
      </w:r>
      <w:r w:rsidR="00E75179">
        <w:t>4</w:t>
      </w:r>
      <w:r w:rsidR="00587000">
        <w:t>9</w:t>
      </w:r>
      <w:r w:rsidR="00E75179">
        <w:t>)</w:t>
      </w:r>
      <w:r w:rsidR="00927E64">
        <w:t>, Clinical Care Group 3A (N=</w:t>
      </w:r>
      <w:r w:rsidR="00CF4F48">
        <w:t>1</w:t>
      </w:r>
      <w:r w:rsidR="00587000">
        <w:t>00</w:t>
      </w:r>
      <w:r w:rsidR="00CF4F48">
        <w:t>)</w:t>
      </w:r>
      <w:r w:rsidR="00927E64">
        <w:t>, and Clinical Care Group 3B (N=</w:t>
      </w:r>
      <w:r w:rsidR="00587000">
        <w:t>112</w:t>
      </w:r>
      <w:r w:rsidR="00927E64">
        <w:t>) will be combined into on</w:t>
      </w:r>
      <w:r w:rsidR="00587000">
        <w:t>e group called “Student Clinics</w:t>
      </w:r>
      <w:r w:rsidR="00927E64">
        <w:t>.</w:t>
      </w:r>
      <w:r w:rsidR="00587000">
        <w:t>”</w:t>
      </w:r>
      <w:r w:rsidR="00927E64">
        <w:t xml:space="preserve">  In addition, </w:t>
      </w:r>
      <w:r w:rsidR="00CF4F48">
        <w:t xml:space="preserve">surveys collected by the Cashier </w:t>
      </w:r>
      <w:r w:rsidR="00587000">
        <w:t xml:space="preserve">(N=6) and Radiology (N=3) </w:t>
      </w:r>
      <w:r w:rsidR="00CF4F48">
        <w:t xml:space="preserve">will not be presented here and </w:t>
      </w:r>
      <w:r w:rsidR="009E6B9D">
        <w:t>the following clinics will be combined:</w:t>
      </w:r>
      <w:r w:rsidR="00587000">
        <w:t xml:space="preserve"> </w:t>
      </w:r>
      <w:r w:rsidR="00927E64">
        <w:t>Oral Surgery (N=</w:t>
      </w:r>
      <w:r w:rsidR="00587000">
        <w:t>9</w:t>
      </w:r>
      <w:r w:rsidR="00927E64">
        <w:t>)</w:t>
      </w:r>
      <w:r w:rsidR="000E56C5">
        <w:t>,</w:t>
      </w:r>
      <w:r w:rsidR="00E75179">
        <w:t xml:space="preserve"> </w:t>
      </w:r>
      <w:r w:rsidR="00927E64">
        <w:t>Student Oral Surgery (N=</w:t>
      </w:r>
      <w:r w:rsidR="00587000">
        <w:t>2</w:t>
      </w:r>
      <w:r w:rsidR="000E56C5">
        <w:t>8</w:t>
      </w:r>
      <w:r w:rsidR="00F03F8E">
        <w:t>)</w:t>
      </w:r>
      <w:r w:rsidR="000E56C5">
        <w:t>, and Implant Center (N=3</w:t>
      </w:r>
      <w:r w:rsidR="00587000">
        <w:t>5</w:t>
      </w:r>
      <w:r w:rsidR="000E56C5">
        <w:t>)</w:t>
      </w:r>
      <w:r w:rsidR="00F03F8E">
        <w:t xml:space="preserve"> </w:t>
      </w:r>
      <w:r w:rsidR="00927E64">
        <w:t>will be combined into “Oral Surgery</w:t>
      </w:r>
      <w:r w:rsidR="00587000">
        <w:t>.</w:t>
      </w:r>
      <w:r w:rsidR="00927E64">
        <w:t>”</w:t>
      </w:r>
    </w:p>
    <w:p w:rsidR="0067277A" w:rsidRDefault="0067277A">
      <w:pPr>
        <w:spacing w:after="200" w:line="276" w:lineRule="auto"/>
        <w:rPr>
          <w:sz w:val="20"/>
          <w:szCs w:val="20"/>
        </w:rPr>
      </w:pPr>
      <w:bookmarkStart w:id="4" w:name="_Toc377727076"/>
    </w:p>
    <w:p w:rsidR="0067277A" w:rsidRDefault="0067277A">
      <w:pPr>
        <w:spacing w:after="200" w:line="276" w:lineRule="auto"/>
        <w:rPr>
          <w:sz w:val="20"/>
          <w:szCs w:val="20"/>
        </w:rPr>
      </w:pPr>
    </w:p>
    <w:p w:rsidR="00587000" w:rsidRDefault="0067277A">
      <w:pPr>
        <w:spacing w:after="200" w:line="276" w:lineRule="auto"/>
        <w:rPr>
          <w:rFonts w:asciiTheme="majorHAnsi" w:eastAsiaTheme="majorEastAsia" w:hAnsiTheme="majorHAnsi" w:cstheme="majorBidi"/>
          <w:b/>
          <w:bCs/>
          <w:color w:val="365F91" w:themeColor="accent1" w:themeShade="BF"/>
          <w:sz w:val="28"/>
          <w:szCs w:val="28"/>
        </w:rPr>
      </w:pPr>
      <w:r>
        <w:rPr>
          <w:sz w:val="20"/>
          <w:szCs w:val="20"/>
        </w:rPr>
        <w:t xml:space="preserve">*Note: </w:t>
      </w:r>
      <w:r w:rsidRPr="00B6750C">
        <w:rPr>
          <w:sz w:val="20"/>
          <w:szCs w:val="20"/>
        </w:rPr>
        <w:t>The Figure utilizes calculations provided by the UF College of Dentistry based on number of surveys submitted</w:t>
      </w:r>
      <w:r>
        <w:rPr>
          <w:sz w:val="20"/>
          <w:szCs w:val="20"/>
        </w:rPr>
        <w:t xml:space="preserve"> (938) rather than the number of usable surveys (901) </w:t>
      </w:r>
      <w:r w:rsidRPr="00B6750C">
        <w:rPr>
          <w:sz w:val="20"/>
          <w:szCs w:val="20"/>
        </w:rPr>
        <w:t>data-reduced by the</w:t>
      </w:r>
      <w:r>
        <w:rPr>
          <w:sz w:val="20"/>
          <w:szCs w:val="20"/>
        </w:rPr>
        <w:t xml:space="preserve"> </w:t>
      </w:r>
      <w:r w:rsidRPr="00B6750C">
        <w:rPr>
          <w:sz w:val="20"/>
          <w:szCs w:val="20"/>
        </w:rPr>
        <w:t xml:space="preserve">FSRC in the calculations </w:t>
      </w:r>
      <w:r>
        <w:rPr>
          <w:sz w:val="20"/>
          <w:szCs w:val="20"/>
        </w:rPr>
        <w:t>used throughout the report</w:t>
      </w:r>
      <w:r w:rsidRPr="00B6750C">
        <w:rPr>
          <w:sz w:val="20"/>
          <w:szCs w:val="20"/>
        </w:rPr>
        <w:t>.</w:t>
      </w:r>
      <w:r w:rsidR="00587000">
        <w:br w:type="page"/>
      </w:r>
    </w:p>
    <w:p w:rsidR="00AA32AA" w:rsidRDefault="00AA32AA" w:rsidP="00A5420F">
      <w:pPr>
        <w:pStyle w:val="Heading1"/>
      </w:pPr>
      <w:r>
        <w:lastRenderedPageBreak/>
        <w:t>Demographics</w:t>
      </w:r>
      <w:bookmarkEnd w:id="4"/>
    </w:p>
    <w:p w:rsidR="00AA32AA" w:rsidRDefault="004B45EE" w:rsidP="00A5420F">
      <w:pPr>
        <w:pStyle w:val="Heading2"/>
      </w:pPr>
      <w:bookmarkStart w:id="5" w:name="_Toc377727077"/>
      <w:r>
        <w:t>Age</w:t>
      </w:r>
      <w:bookmarkEnd w:id="5"/>
    </w:p>
    <w:p w:rsidR="00E267C3" w:rsidRPr="00E267C3" w:rsidRDefault="00E267C3" w:rsidP="00E267C3">
      <w:pPr>
        <w:jc w:val="center"/>
      </w:pPr>
      <w:r>
        <w:t>Patients were asked: “</w:t>
      </w:r>
      <w:r w:rsidRPr="00E267C3">
        <w:rPr>
          <w:i/>
        </w:rPr>
        <w:t>How old are you?</w:t>
      </w:r>
      <w:r>
        <w:t>”</w:t>
      </w:r>
    </w:p>
    <w:p w:rsidR="00A5420F" w:rsidRPr="00A5420F" w:rsidRDefault="00A5420F" w:rsidP="00A5420F"/>
    <w:p w:rsidR="004B45EE" w:rsidRDefault="004B45EE" w:rsidP="00A5420F">
      <w:pPr>
        <w:pStyle w:val="NoSpacing"/>
        <w:jc w:val="center"/>
      </w:pPr>
      <w:r>
        <w:rPr>
          <w:noProof/>
        </w:rPr>
        <w:drawing>
          <wp:inline distT="0" distB="0" distL="0" distR="0">
            <wp:extent cx="8239125" cy="3581400"/>
            <wp:effectExtent l="1905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715F3" w:rsidRDefault="00B715F3">
      <w:pPr>
        <w:spacing w:after="200" w:line="276" w:lineRule="auto"/>
      </w:pPr>
    </w:p>
    <w:p w:rsidR="00B715F3" w:rsidRDefault="00B715F3" w:rsidP="00B715F3">
      <w:r>
        <w:t xml:space="preserve">There are substantial variations in the ages of the patients who </w:t>
      </w:r>
      <w:r w:rsidR="009520AA">
        <w:t>completed surveys in</w:t>
      </w:r>
      <w:r>
        <w:t xml:space="preserve"> the various dental clinics. Some of the results are as we would expect. For example, the clinics with the highest percentage of completed surveys in the “20 or under” age group </w:t>
      </w:r>
      <w:r w:rsidR="00D6089F">
        <w:t>we</w:t>
      </w:r>
      <w:r>
        <w:t>re Orthodontics and Pediatrics.  In contrast, the clinic</w:t>
      </w:r>
      <w:r w:rsidR="00325A69">
        <w:t>s</w:t>
      </w:r>
      <w:r>
        <w:t xml:space="preserve"> with the highest percentage of completed surveys for the “Over 60” age group </w:t>
      </w:r>
      <w:r w:rsidR="00D6089F">
        <w:t>w</w:t>
      </w:r>
      <w:r w:rsidR="00325A69">
        <w:t>ere Oral Medicine and Graduate</w:t>
      </w:r>
      <w:r w:rsidR="00E8138B">
        <w:t xml:space="preserve"> P</w:t>
      </w:r>
      <w:r w:rsidR="00325A69">
        <w:t>rostho</w:t>
      </w:r>
      <w:r w:rsidR="00E8138B">
        <w:t>dontics</w:t>
      </w:r>
      <w:r>
        <w:t>.</w:t>
      </w:r>
    </w:p>
    <w:p w:rsidR="009E6B9D" w:rsidRDefault="009E6B9D">
      <w:pPr>
        <w:spacing w:after="200" w:line="276" w:lineRule="auto"/>
        <w:rPr>
          <w:rFonts w:asciiTheme="majorHAnsi" w:eastAsiaTheme="majorEastAsia" w:hAnsiTheme="majorHAnsi" w:cstheme="majorBidi"/>
          <w:b/>
          <w:bCs/>
          <w:color w:val="4F81BD" w:themeColor="accent1"/>
          <w:sz w:val="26"/>
          <w:szCs w:val="26"/>
        </w:rPr>
      </w:pPr>
      <w:r>
        <w:br w:type="page"/>
      </w:r>
    </w:p>
    <w:p w:rsidR="00A5420F" w:rsidRDefault="00A5420F" w:rsidP="00A5420F">
      <w:pPr>
        <w:pStyle w:val="Heading2"/>
      </w:pPr>
      <w:bookmarkStart w:id="6" w:name="_Toc377727078"/>
      <w:r>
        <w:lastRenderedPageBreak/>
        <w:t>Gender</w:t>
      </w:r>
      <w:bookmarkEnd w:id="6"/>
    </w:p>
    <w:p w:rsidR="00E267C3" w:rsidRPr="00E267C3" w:rsidRDefault="00E267C3" w:rsidP="00E267C3">
      <w:pPr>
        <w:jc w:val="center"/>
      </w:pPr>
      <w:r>
        <w:t>Patients were asked: “</w:t>
      </w:r>
      <w:r w:rsidRPr="00E267C3">
        <w:rPr>
          <w:i/>
        </w:rPr>
        <w:t>Are you female or male?</w:t>
      </w:r>
      <w:r>
        <w:t>”</w:t>
      </w:r>
    </w:p>
    <w:p w:rsidR="00A5420F" w:rsidRDefault="00A5420F" w:rsidP="00BC2AC0">
      <w:pPr>
        <w:pStyle w:val="NoSpacing"/>
      </w:pPr>
    </w:p>
    <w:p w:rsidR="00A5420F" w:rsidRDefault="00A5420F" w:rsidP="00A5420F">
      <w:pPr>
        <w:pStyle w:val="NoSpacing"/>
        <w:jc w:val="center"/>
      </w:pPr>
      <w:r>
        <w:rPr>
          <w:noProof/>
        </w:rPr>
        <w:drawing>
          <wp:inline distT="0" distB="0" distL="0" distR="0">
            <wp:extent cx="8020050" cy="3838575"/>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5420F" w:rsidRDefault="00A5420F" w:rsidP="00A5420F">
      <w:pPr>
        <w:pStyle w:val="NoSpacing"/>
      </w:pPr>
    </w:p>
    <w:p w:rsidR="00B715F3" w:rsidRDefault="00982FB2" w:rsidP="00B715F3">
      <w:r>
        <w:t>There is much</w:t>
      </w:r>
      <w:r w:rsidR="00B715F3">
        <w:t xml:space="preserve"> vari</w:t>
      </w:r>
      <w:r>
        <w:t>ation among the various clinics in patients’ gender</w:t>
      </w:r>
      <w:r w:rsidR="00B715F3">
        <w:t>.</w:t>
      </w:r>
      <w:r w:rsidR="00726CDC">
        <w:t xml:space="preserve">  The largest differential</w:t>
      </w:r>
      <w:r>
        <w:t>s</w:t>
      </w:r>
      <w:r w:rsidR="00726CDC">
        <w:t xml:space="preserve"> </w:t>
      </w:r>
      <w:r w:rsidR="001721BA">
        <w:t xml:space="preserve">between male and female patients </w:t>
      </w:r>
      <w:r>
        <w:t>were</w:t>
      </w:r>
      <w:r w:rsidR="00726CDC">
        <w:t xml:space="preserve"> in </w:t>
      </w:r>
      <w:r w:rsidR="00466707">
        <w:t>Oral Medicine</w:t>
      </w:r>
      <w:r w:rsidR="00726CDC">
        <w:t xml:space="preserve">, where </w:t>
      </w:r>
      <w:r>
        <w:t>nearly three-quarters</w:t>
      </w:r>
      <w:r w:rsidR="00726CDC">
        <w:t xml:space="preserve"> (</w:t>
      </w:r>
      <w:r>
        <w:t>72.2</w:t>
      </w:r>
      <w:r w:rsidR="00726CDC">
        <w:t>%) of the patients surveyed were male</w:t>
      </w:r>
      <w:r>
        <w:t xml:space="preserve"> and in Pediatrics, where about three-quarters (75.8%) of the patients surveyed were female</w:t>
      </w:r>
      <w:r w:rsidR="00726CDC">
        <w:t>.</w:t>
      </w:r>
    </w:p>
    <w:p w:rsidR="00675D57" w:rsidRDefault="00675D57">
      <w:pPr>
        <w:spacing w:after="200" w:line="276" w:lineRule="auto"/>
        <w:rPr>
          <w:rFonts w:asciiTheme="majorHAnsi" w:eastAsiaTheme="majorEastAsia" w:hAnsiTheme="majorHAnsi" w:cstheme="majorBidi"/>
          <w:b/>
          <w:bCs/>
          <w:noProof/>
          <w:color w:val="4F81BD" w:themeColor="accent1"/>
          <w:sz w:val="26"/>
          <w:szCs w:val="26"/>
        </w:rPr>
      </w:pPr>
      <w:r>
        <w:rPr>
          <w:noProof/>
        </w:rPr>
        <w:br w:type="page"/>
      </w:r>
    </w:p>
    <w:p w:rsidR="00A5420F" w:rsidRDefault="008B3F8C" w:rsidP="006C3F26">
      <w:pPr>
        <w:pStyle w:val="Heading2"/>
        <w:rPr>
          <w:noProof/>
        </w:rPr>
      </w:pPr>
      <w:bookmarkStart w:id="7" w:name="_Toc377727079"/>
      <w:r>
        <w:rPr>
          <w:noProof/>
        </w:rPr>
        <w:lastRenderedPageBreak/>
        <w:t>Race/</w:t>
      </w:r>
      <w:r w:rsidR="006C3F26">
        <w:rPr>
          <w:noProof/>
        </w:rPr>
        <w:t>Ethnicity</w:t>
      </w:r>
      <w:bookmarkEnd w:id="7"/>
    </w:p>
    <w:p w:rsidR="008B3F8C" w:rsidRPr="008B3F8C" w:rsidRDefault="008B3F8C" w:rsidP="008B3F8C">
      <w:pPr>
        <w:pStyle w:val="NoSpacing"/>
        <w:jc w:val="center"/>
      </w:pPr>
      <w:r w:rsidRPr="008B3F8C">
        <w:t xml:space="preserve">Patients were asked: </w:t>
      </w:r>
      <w:r w:rsidRPr="008B3F8C">
        <w:rPr>
          <w:i/>
        </w:rPr>
        <w:t>“Which of the following best describe your race?”</w:t>
      </w:r>
      <w:r w:rsidRPr="008B3F8C">
        <w:t xml:space="preserve"> and</w:t>
      </w:r>
      <w:r>
        <w:t xml:space="preserve"> </w:t>
      </w:r>
      <w:r w:rsidRPr="008B3F8C">
        <w:rPr>
          <w:i/>
        </w:rPr>
        <w:t>“Are you Hispanic, Latino, or Spanish?”</w:t>
      </w:r>
    </w:p>
    <w:p w:rsidR="006C3F26" w:rsidRDefault="006C3F26" w:rsidP="00A5420F">
      <w:pPr>
        <w:pStyle w:val="NoSpacing"/>
        <w:rPr>
          <w:noProof/>
        </w:rPr>
      </w:pPr>
    </w:p>
    <w:tbl>
      <w:tblPr>
        <w:tblStyle w:val="TableGrid"/>
        <w:tblW w:w="13184" w:type="dxa"/>
        <w:tblLayout w:type="fixed"/>
        <w:tblLook w:val="04A0" w:firstRow="1" w:lastRow="0" w:firstColumn="1" w:lastColumn="0" w:noHBand="0" w:noVBand="1"/>
      </w:tblPr>
      <w:tblGrid>
        <w:gridCol w:w="3078"/>
        <w:gridCol w:w="1000"/>
        <w:gridCol w:w="911"/>
        <w:gridCol w:w="910"/>
        <w:gridCol w:w="911"/>
        <w:gridCol w:w="910"/>
        <w:gridCol w:w="911"/>
        <w:gridCol w:w="910"/>
        <w:gridCol w:w="911"/>
        <w:gridCol w:w="910"/>
        <w:gridCol w:w="911"/>
        <w:gridCol w:w="911"/>
      </w:tblGrid>
      <w:tr w:rsidR="00974B16" w:rsidRPr="006C3F26" w:rsidTr="00974B16">
        <w:tc>
          <w:tcPr>
            <w:tcW w:w="3078" w:type="dxa"/>
            <w:shd w:val="clear" w:color="auto" w:fill="C6D9F1" w:themeFill="text2" w:themeFillTint="33"/>
            <w:vAlign w:val="center"/>
          </w:tcPr>
          <w:p w:rsidR="00974B16" w:rsidRPr="006C3F26" w:rsidRDefault="00974B16" w:rsidP="00B715F3">
            <w:pPr>
              <w:pStyle w:val="NoSpacing"/>
              <w:rPr>
                <w:b/>
              </w:rPr>
            </w:pPr>
            <w:r>
              <w:rPr>
                <w:b/>
              </w:rPr>
              <w:t>Race/</w:t>
            </w:r>
            <w:r w:rsidRPr="006C3F26">
              <w:rPr>
                <w:b/>
              </w:rPr>
              <w:t>Ethnicity</w:t>
            </w:r>
          </w:p>
        </w:tc>
        <w:tc>
          <w:tcPr>
            <w:tcW w:w="1000" w:type="dxa"/>
            <w:shd w:val="clear" w:color="auto" w:fill="C6D9F1" w:themeFill="text2" w:themeFillTint="33"/>
            <w:vAlign w:val="center"/>
          </w:tcPr>
          <w:p w:rsidR="00974B16" w:rsidRDefault="00974B16" w:rsidP="00B715F3">
            <w:pPr>
              <w:pStyle w:val="NoSpacing"/>
              <w:jc w:val="center"/>
              <w:rPr>
                <w:b/>
              </w:rPr>
            </w:pPr>
            <w:r>
              <w:rPr>
                <w:b/>
              </w:rPr>
              <w:t>Student</w:t>
            </w:r>
          </w:p>
          <w:p w:rsidR="00974B16" w:rsidRPr="006C3F26" w:rsidRDefault="00974B16" w:rsidP="00B715F3">
            <w:pPr>
              <w:pStyle w:val="NoSpacing"/>
              <w:jc w:val="center"/>
              <w:rPr>
                <w:b/>
              </w:rPr>
            </w:pPr>
            <w:r>
              <w:rPr>
                <w:b/>
              </w:rPr>
              <w:t>Clinics</w:t>
            </w:r>
          </w:p>
        </w:tc>
        <w:tc>
          <w:tcPr>
            <w:tcW w:w="911" w:type="dxa"/>
            <w:shd w:val="clear" w:color="auto" w:fill="C6D9F1" w:themeFill="text2" w:themeFillTint="33"/>
            <w:vAlign w:val="center"/>
          </w:tcPr>
          <w:p w:rsidR="00974B16" w:rsidRPr="006C3F26" w:rsidRDefault="00974B16" w:rsidP="0049564F">
            <w:pPr>
              <w:pStyle w:val="NoSpacing"/>
              <w:jc w:val="center"/>
              <w:rPr>
                <w:b/>
              </w:rPr>
            </w:pPr>
            <w:r>
              <w:rPr>
                <w:b/>
              </w:rPr>
              <w:t>FP</w:t>
            </w:r>
          </w:p>
        </w:tc>
        <w:tc>
          <w:tcPr>
            <w:tcW w:w="910" w:type="dxa"/>
            <w:shd w:val="clear" w:color="auto" w:fill="C6D9F1" w:themeFill="text2" w:themeFillTint="33"/>
            <w:vAlign w:val="center"/>
          </w:tcPr>
          <w:p w:rsidR="00974B16" w:rsidRPr="006C3F26" w:rsidRDefault="00974B16" w:rsidP="0049564F">
            <w:pPr>
              <w:pStyle w:val="NoSpacing"/>
              <w:jc w:val="center"/>
              <w:rPr>
                <w:b/>
              </w:rPr>
            </w:pPr>
            <w:r>
              <w:rPr>
                <w:b/>
              </w:rPr>
              <w:t>GE</w:t>
            </w:r>
          </w:p>
        </w:tc>
        <w:tc>
          <w:tcPr>
            <w:tcW w:w="911" w:type="dxa"/>
            <w:shd w:val="clear" w:color="auto" w:fill="C6D9F1" w:themeFill="text2" w:themeFillTint="33"/>
            <w:vAlign w:val="center"/>
          </w:tcPr>
          <w:p w:rsidR="00974B16" w:rsidRPr="006C3F26" w:rsidRDefault="00974B16" w:rsidP="0049564F">
            <w:pPr>
              <w:pStyle w:val="NoSpacing"/>
              <w:jc w:val="center"/>
              <w:rPr>
                <w:b/>
              </w:rPr>
            </w:pPr>
            <w:r>
              <w:rPr>
                <w:b/>
              </w:rPr>
              <w:t>GPE</w:t>
            </w:r>
          </w:p>
        </w:tc>
        <w:tc>
          <w:tcPr>
            <w:tcW w:w="910" w:type="dxa"/>
            <w:shd w:val="clear" w:color="auto" w:fill="C6D9F1" w:themeFill="text2" w:themeFillTint="33"/>
            <w:vAlign w:val="center"/>
          </w:tcPr>
          <w:p w:rsidR="00974B16" w:rsidRDefault="00974B16" w:rsidP="0049564F">
            <w:pPr>
              <w:pStyle w:val="NoSpacing"/>
              <w:jc w:val="center"/>
              <w:rPr>
                <w:b/>
              </w:rPr>
            </w:pPr>
            <w:r>
              <w:rPr>
                <w:b/>
              </w:rPr>
              <w:t>GPR</w:t>
            </w:r>
          </w:p>
        </w:tc>
        <w:tc>
          <w:tcPr>
            <w:tcW w:w="911" w:type="dxa"/>
            <w:shd w:val="clear" w:color="auto" w:fill="C6D9F1" w:themeFill="text2" w:themeFillTint="33"/>
            <w:vAlign w:val="center"/>
          </w:tcPr>
          <w:p w:rsidR="00974B16" w:rsidRDefault="00974B16" w:rsidP="00974B16">
            <w:pPr>
              <w:pStyle w:val="NoSpacing"/>
              <w:jc w:val="center"/>
              <w:rPr>
                <w:b/>
              </w:rPr>
            </w:pPr>
            <w:r>
              <w:rPr>
                <w:b/>
              </w:rPr>
              <w:t>Hialeah</w:t>
            </w:r>
          </w:p>
        </w:tc>
        <w:tc>
          <w:tcPr>
            <w:tcW w:w="910" w:type="dxa"/>
            <w:shd w:val="clear" w:color="auto" w:fill="C6D9F1" w:themeFill="text2" w:themeFillTint="33"/>
            <w:vAlign w:val="center"/>
          </w:tcPr>
          <w:p w:rsidR="00974B16" w:rsidRPr="006C3F26" w:rsidRDefault="00974B16" w:rsidP="008C53D3">
            <w:pPr>
              <w:pStyle w:val="NoSpacing"/>
              <w:jc w:val="center"/>
              <w:rPr>
                <w:b/>
              </w:rPr>
            </w:pPr>
            <w:r>
              <w:rPr>
                <w:b/>
              </w:rPr>
              <w:t>OM</w:t>
            </w:r>
          </w:p>
        </w:tc>
        <w:tc>
          <w:tcPr>
            <w:tcW w:w="911" w:type="dxa"/>
            <w:shd w:val="clear" w:color="auto" w:fill="C6D9F1" w:themeFill="text2" w:themeFillTint="33"/>
            <w:vAlign w:val="center"/>
          </w:tcPr>
          <w:p w:rsidR="00974B16" w:rsidRPr="006C3F26" w:rsidRDefault="00974B16" w:rsidP="008C53D3">
            <w:pPr>
              <w:pStyle w:val="NoSpacing"/>
              <w:jc w:val="center"/>
              <w:rPr>
                <w:b/>
              </w:rPr>
            </w:pPr>
            <w:r>
              <w:rPr>
                <w:b/>
              </w:rPr>
              <w:t>OR</w:t>
            </w:r>
          </w:p>
        </w:tc>
        <w:tc>
          <w:tcPr>
            <w:tcW w:w="910" w:type="dxa"/>
            <w:shd w:val="clear" w:color="auto" w:fill="C6D9F1" w:themeFill="text2" w:themeFillTint="33"/>
            <w:vAlign w:val="center"/>
          </w:tcPr>
          <w:p w:rsidR="00974B16" w:rsidRDefault="00974B16" w:rsidP="008C53D3">
            <w:pPr>
              <w:pStyle w:val="NoSpacing"/>
              <w:jc w:val="center"/>
              <w:rPr>
                <w:b/>
              </w:rPr>
            </w:pPr>
            <w:r>
              <w:rPr>
                <w:b/>
              </w:rPr>
              <w:t>OS</w:t>
            </w:r>
          </w:p>
        </w:tc>
        <w:tc>
          <w:tcPr>
            <w:tcW w:w="911" w:type="dxa"/>
            <w:shd w:val="clear" w:color="auto" w:fill="C6D9F1" w:themeFill="text2" w:themeFillTint="33"/>
            <w:vAlign w:val="center"/>
          </w:tcPr>
          <w:p w:rsidR="00974B16" w:rsidRDefault="00974B16" w:rsidP="00B715F3">
            <w:pPr>
              <w:pStyle w:val="NoSpacing"/>
              <w:jc w:val="center"/>
              <w:rPr>
                <w:b/>
              </w:rPr>
            </w:pPr>
            <w:r>
              <w:rPr>
                <w:b/>
              </w:rPr>
              <w:t>PD</w:t>
            </w:r>
          </w:p>
        </w:tc>
        <w:tc>
          <w:tcPr>
            <w:tcW w:w="911" w:type="dxa"/>
            <w:shd w:val="clear" w:color="auto" w:fill="C6D9F1" w:themeFill="text2" w:themeFillTint="33"/>
            <w:vAlign w:val="center"/>
          </w:tcPr>
          <w:p w:rsidR="00974B16" w:rsidRDefault="00974B16" w:rsidP="00B715F3">
            <w:pPr>
              <w:pStyle w:val="NoSpacing"/>
              <w:jc w:val="center"/>
              <w:rPr>
                <w:b/>
              </w:rPr>
            </w:pPr>
            <w:r>
              <w:rPr>
                <w:b/>
              </w:rPr>
              <w:t>SP</w:t>
            </w:r>
          </w:p>
        </w:tc>
      </w:tr>
      <w:tr w:rsidR="00974B16" w:rsidTr="00974B16">
        <w:tc>
          <w:tcPr>
            <w:tcW w:w="3078" w:type="dxa"/>
          </w:tcPr>
          <w:p w:rsidR="00974B16" w:rsidRDefault="00974B16" w:rsidP="00A5420F">
            <w:pPr>
              <w:pStyle w:val="NoSpacing"/>
            </w:pPr>
            <w:r>
              <w:t>White</w:t>
            </w:r>
          </w:p>
        </w:tc>
        <w:tc>
          <w:tcPr>
            <w:tcW w:w="1000" w:type="dxa"/>
            <w:shd w:val="clear" w:color="auto" w:fill="auto"/>
            <w:vAlign w:val="center"/>
          </w:tcPr>
          <w:p w:rsidR="00974B16" w:rsidRDefault="00FE2F52" w:rsidP="00AC57C8">
            <w:pPr>
              <w:pStyle w:val="NoSpacing"/>
              <w:jc w:val="center"/>
            </w:pPr>
            <w:r>
              <w:t>82.4</w:t>
            </w:r>
            <w:r w:rsidR="00532426">
              <w:t>%</w:t>
            </w:r>
          </w:p>
        </w:tc>
        <w:tc>
          <w:tcPr>
            <w:tcW w:w="911" w:type="dxa"/>
            <w:vAlign w:val="center"/>
          </w:tcPr>
          <w:p w:rsidR="00974B16" w:rsidRDefault="00FE2F52" w:rsidP="00AC57C8">
            <w:pPr>
              <w:pStyle w:val="NoSpacing"/>
              <w:jc w:val="center"/>
            </w:pPr>
            <w:r>
              <w:t>69.6</w:t>
            </w:r>
            <w:r w:rsidR="00532426">
              <w:t>%</w:t>
            </w:r>
          </w:p>
        </w:tc>
        <w:tc>
          <w:tcPr>
            <w:tcW w:w="910" w:type="dxa"/>
            <w:shd w:val="clear" w:color="auto" w:fill="auto"/>
            <w:vAlign w:val="center"/>
          </w:tcPr>
          <w:p w:rsidR="00974B16" w:rsidRDefault="00FE2F52" w:rsidP="00AC57C8">
            <w:pPr>
              <w:pStyle w:val="NoSpacing"/>
              <w:jc w:val="center"/>
            </w:pPr>
            <w:r>
              <w:t>67.3</w:t>
            </w:r>
            <w:r w:rsidR="00532426">
              <w:t>%</w:t>
            </w:r>
          </w:p>
        </w:tc>
        <w:tc>
          <w:tcPr>
            <w:tcW w:w="911" w:type="dxa"/>
            <w:shd w:val="clear" w:color="auto" w:fill="auto"/>
            <w:vAlign w:val="center"/>
          </w:tcPr>
          <w:p w:rsidR="00974B16" w:rsidRDefault="00FE2F52" w:rsidP="00AC57C8">
            <w:pPr>
              <w:pStyle w:val="NoSpacing"/>
              <w:jc w:val="center"/>
            </w:pPr>
            <w:r>
              <w:t>82.8</w:t>
            </w:r>
            <w:r w:rsidR="00532426">
              <w:t>%</w:t>
            </w:r>
          </w:p>
        </w:tc>
        <w:tc>
          <w:tcPr>
            <w:tcW w:w="910" w:type="dxa"/>
            <w:shd w:val="clear" w:color="auto" w:fill="auto"/>
            <w:vAlign w:val="center"/>
          </w:tcPr>
          <w:p w:rsidR="00974B16" w:rsidRDefault="00FE2F52" w:rsidP="00AC57C8">
            <w:pPr>
              <w:pStyle w:val="NoSpacing"/>
              <w:jc w:val="center"/>
            </w:pPr>
            <w:r>
              <w:t>82.1</w:t>
            </w:r>
            <w:r w:rsidR="00532426">
              <w:t>%</w:t>
            </w:r>
          </w:p>
        </w:tc>
        <w:tc>
          <w:tcPr>
            <w:tcW w:w="911" w:type="dxa"/>
          </w:tcPr>
          <w:p w:rsidR="00974B16" w:rsidRDefault="00FE2F52" w:rsidP="00AC57C8">
            <w:pPr>
              <w:pStyle w:val="NoSpacing"/>
              <w:jc w:val="center"/>
            </w:pPr>
            <w:r>
              <w:t>67.6</w:t>
            </w:r>
            <w:r w:rsidR="00532426">
              <w:t>%</w:t>
            </w:r>
          </w:p>
        </w:tc>
        <w:tc>
          <w:tcPr>
            <w:tcW w:w="910" w:type="dxa"/>
            <w:shd w:val="clear" w:color="auto" w:fill="auto"/>
            <w:vAlign w:val="center"/>
          </w:tcPr>
          <w:p w:rsidR="00974B16" w:rsidRDefault="00FE2F52" w:rsidP="00AC57C8">
            <w:pPr>
              <w:pStyle w:val="NoSpacing"/>
              <w:jc w:val="center"/>
            </w:pPr>
            <w:r>
              <w:t>94.4</w:t>
            </w:r>
            <w:r w:rsidR="00532426">
              <w:t>%</w:t>
            </w:r>
          </w:p>
        </w:tc>
        <w:tc>
          <w:tcPr>
            <w:tcW w:w="911" w:type="dxa"/>
            <w:shd w:val="clear" w:color="auto" w:fill="auto"/>
            <w:vAlign w:val="center"/>
          </w:tcPr>
          <w:p w:rsidR="00974B16" w:rsidRDefault="00FE2F52" w:rsidP="00AC57C8">
            <w:pPr>
              <w:pStyle w:val="NoSpacing"/>
              <w:jc w:val="center"/>
            </w:pPr>
            <w:r>
              <w:t>65.3</w:t>
            </w:r>
            <w:r w:rsidR="00532426">
              <w:t>%</w:t>
            </w:r>
          </w:p>
        </w:tc>
        <w:tc>
          <w:tcPr>
            <w:tcW w:w="910" w:type="dxa"/>
            <w:shd w:val="clear" w:color="auto" w:fill="auto"/>
            <w:vAlign w:val="center"/>
          </w:tcPr>
          <w:p w:rsidR="00974B16" w:rsidRDefault="00105833" w:rsidP="00AC57C8">
            <w:pPr>
              <w:pStyle w:val="NoSpacing"/>
              <w:jc w:val="center"/>
            </w:pPr>
            <w:r>
              <w:t>69.1%</w:t>
            </w:r>
          </w:p>
        </w:tc>
        <w:tc>
          <w:tcPr>
            <w:tcW w:w="911" w:type="dxa"/>
            <w:vAlign w:val="center"/>
          </w:tcPr>
          <w:p w:rsidR="00974B16" w:rsidRDefault="00532426" w:rsidP="00AC57C8">
            <w:pPr>
              <w:pStyle w:val="NoSpacing"/>
              <w:jc w:val="center"/>
            </w:pPr>
            <w:r>
              <w:t>50.0%</w:t>
            </w:r>
          </w:p>
        </w:tc>
        <w:tc>
          <w:tcPr>
            <w:tcW w:w="911" w:type="dxa"/>
            <w:vAlign w:val="center"/>
          </w:tcPr>
          <w:p w:rsidR="00974B16" w:rsidRDefault="00532426" w:rsidP="00AC57C8">
            <w:pPr>
              <w:pStyle w:val="NoSpacing"/>
              <w:jc w:val="center"/>
            </w:pPr>
            <w:r>
              <w:t>87.8%</w:t>
            </w:r>
          </w:p>
        </w:tc>
      </w:tr>
      <w:tr w:rsidR="00974B16" w:rsidTr="00974B16">
        <w:tc>
          <w:tcPr>
            <w:tcW w:w="3078" w:type="dxa"/>
          </w:tcPr>
          <w:p w:rsidR="00974B16" w:rsidRDefault="00974B16" w:rsidP="00A5420F">
            <w:pPr>
              <w:pStyle w:val="NoSpacing"/>
            </w:pPr>
            <w:r>
              <w:t>Asian</w:t>
            </w:r>
          </w:p>
        </w:tc>
        <w:tc>
          <w:tcPr>
            <w:tcW w:w="1000" w:type="dxa"/>
            <w:shd w:val="clear" w:color="auto" w:fill="auto"/>
            <w:vAlign w:val="center"/>
          </w:tcPr>
          <w:p w:rsidR="00974B16" w:rsidRDefault="00FE2F52" w:rsidP="00AC57C8">
            <w:pPr>
              <w:pStyle w:val="NoSpacing"/>
              <w:jc w:val="center"/>
            </w:pPr>
            <w:r>
              <w:t>1.6</w:t>
            </w:r>
            <w:r w:rsidR="00532426">
              <w:t>%</w:t>
            </w:r>
          </w:p>
        </w:tc>
        <w:tc>
          <w:tcPr>
            <w:tcW w:w="911" w:type="dxa"/>
            <w:vAlign w:val="center"/>
          </w:tcPr>
          <w:p w:rsidR="00974B16" w:rsidRDefault="00FE2F52" w:rsidP="00AC57C8">
            <w:pPr>
              <w:pStyle w:val="NoSpacing"/>
              <w:jc w:val="center"/>
            </w:pPr>
            <w:r>
              <w:t>13.0</w:t>
            </w:r>
            <w:r w:rsidR="00532426">
              <w:t>%</w:t>
            </w:r>
          </w:p>
        </w:tc>
        <w:tc>
          <w:tcPr>
            <w:tcW w:w="910" w:type="dxa"/>
            <w:shd w:val="clear" w:color="auto" w:fill="auto"/>
            <w:vAlign w:val="center"/>
          </w:tcPr>
          <w:p w:rsidR="00974B16" w:rsidRDefault="00FE2F52" w:rsidP="00AC57C8">
            <w:pPr>
              <w:pStyle w:val="NoSpacing"/>
              <w:jc w:val="center"/>
            </w:pPr>
            <w:r>
              <w:t>1.8</w:t>
            </w:r>
            <w:r w:rsidR="00532426">
              <w:t>%</w:t>
            </w:r>
          </w:p>
        </w:tc>
        <w:tc>
          <w:tcPr>
            <w:tcW w:w="911" w:type="dxa"/>
            <w:shd w:val="clear" w:color="auto" w:fill="auto"/>
            <w:vAlign w:val="center"/>
          </w:tcPr>
          <w:p w:rsidR="00974B16" w:rsidRDefault="00FE2F52" w:rsidP="00AC57C8">
            <w:pPr>
              <w:pStyle w:val="NoSpacing"/>
              <w:jc w:val="center"/>
            </w:pPr>
            <w:r>
              <w:t>0.0</w:t>
            </w:r>
            <w:r w:rsidR="00532426">
              <w:t>%</w:t>
            </w:r>
          </w:p>
        </w:tc>
        <w:tc>
          <w:tcPr>
            <w:tcW w:w="910" w:type="dxa"/>
            <w:shd w:val="clear" w:color="auto" w:fill="auto"/>
            <w:vAlign w:val="center"/>
          </w:tcPr>
          <w:p w:rsidR="00974B16" w:rsidRDefault="00FE2F52" w:rsidP="00AC57C8">
            <w:pPr>
              <w:pStyle w:val="NoSpacing"/>
              <w:jc w:val="center"/>
            </w:pPr>
            <w:r>
              <w:t>2.6</w:t>
            </w:r>
            <w:r w:rsidR="00532426">
              <w:t>%</w:t>
            </w:r>
          </w:p>
        </w:tc>
        <w:tc>
          <w:tcPr>
            <w:tcW w:w="911" w:type="dxa"/>
          </w:tcPr>
          <w:p w:rsidR="00974B16" w:rsidRDefault="00FE2F52" w:rsidP="00AC57C8">
            <w:pPr>
              <w:pStyle w:val="NoSpacing"/>
              <w:jc w:val="center"/>
            </w:pPr>
            <w:r>
              <w:t>4.2</w:t>
            </w:r>
            <w:r w:rsidR="00532426">
              <w:t>%</w:t>
            </w:r>
          </w:p>
        </w:tc>
        <w:tc>
          <w:tcPr>
            <w:tcW w:w="910" w:type="dxa"/>
            <w:shd w:val="clear" w:color="auto" w:fill="auto"/>
            <w:vAlign w:val="center"/>
          </w:tcPr>
          <w:p w:rsidR="00974B16" w:rsidRDefault="00FE2F52" w:rsidP="00AC57C8">
            <w:pPr>
              <w:pStyle w:val="NoSpacing"/>
              <w:jc w:val="center"/>
            </w:pPr>
            <w:r>
              <w:t>0.0</w:t>
            </w:r>
            <w:r w:rsidR="00532426">
              <w:t>%</w:t>
            </w:r>
          </w:p>
        </w:tc>
        <w:tc>
          <w:tcPr>
            <w:tcW w:w="911" w:type="dxa"/>
            <w:shd w:val="clear" w:color="auto" w:fill="auto"/>
            <w:vAlign w:val="center"/>
          </w:tcPr>
          <w:p w:rsidR="00974B16" w:rsidRDefault="00FE2F52" w:rsidP="00AC57C8">
            <w:pPr>
              <w:pStyle w:val="NoSpacing"/>
              <w:jc w:val="center"/>
            </w:pPr>
            <w:r>
              <w:t>4.1</w:t>
            </w:r>
            <w:r w:rsidR="00532426">
              <w:t>%</w:t>
            </w:r>
          </w:p>
        </w:tc>
        <w:tc>
          <w:tcPr>
            <w:tcW w:w="910" w:type="dxa"/>
            <w:shd w:val="clear" w:color="auto" w:fill="auto"/>
            <w:vAlign w:val="center"/>
          </w:tcPr>
          <w:p w:rsidR="00974B16" w:rsidRDefault="00105833" w:rsidP="00AC57C8">
            <w:pPr>
              <w:pStyle w:val="NoSpacing"/>
              <w:jc w:val="center"/>
            </w:pPr>
            <w:r>
              <w:t>7.4%</w:t>
            </w:r>
          </w:p>
        </w:tc>
        <w:tc>
          <w:tcPr>
            <w:tcW w:w="911" w:type="dxa"/>
            <w:vAlign w:val="center"/>
          </w:tcPr>
          <w:p w:rsidR="00974B16" w:rsidRDefault="00532426" w:rsidP="00AC57C8">
            <w:pPr>
              <w:pStyle w:val="NoSpacing"/>
              <w:jc w:val="center"/>
            </w:pPr>
            <w:r>
              <w:t>0.0%</w:t>
            </w:r>
          </w:p>
        </w:tc>
        <w:tc>
          <w:tcPr>
            <w:tcW w:w="911" w:type="dxa"/>
            <w:vAlign w:val="center"/>
          </w:tcPr>
          <w:p w:rsidR="00974B16" w:rsidRDefault="00532426" w:rsidP="00AC57C8">
            <w:pPr>
              <w:pStyle w:val="NoSpacing"/>
              <w:jc w:val="center"/>
            </w:pPr>
            <w:r>
              <w:t>2.0%</w:t>
            </w:r>
          </w:p>
        </w:tc>
      </w:tr>
      <w:tr w:rsidR="00974B16" w:rsidTr="00974B16">
        <w:tc>
          <w:tcPr>
            <w:tcW w:w="3078" w:type="dxa"/>
          </w:tcPr>
          <w:p w:rsidR="00974B16" w:rsidRDefault="00974B16" w:rsidP="00A5420F">
            <w:pPr>
              <w:pStyle w:val="NoSpacing"/>
            </w:pPr>
            <w:r>
              <w:t>Black/African American</w:t>
            </w:r>
          </w:p>
        </w:tc>
        <w:tc>
          <w:tcPr>
            <w:tcW w:w="1000" w:type="dxa"/>
            <w:shd w:val="clear" w:color="auto" w:fill="auto"/>
            <w:vAlign w:val="center"/>
          </w:tcPr>
          <w:p w:rsidR="00974B16" w:rsidRDefault="00FE2F52" w:rsidP="00AC57C8">
            <w:pPr>
              <w:pStyle w:val="NoSpacing"/>
              <w:jc w:val="center"/>
            </w:pPr>
            <w:r>
              <w:t>12.8</w:t>
            </w:r>
            <w:r w:rsidR="00532426">
              <w:t>%</w:t>
            </w:r>
          </w:p>
        </w:tc>
        <w:tc>
          <w:tcPr>
            <w:tcW w:w="911" w:type="dxa"/>
            <w:vAlign w:val="center"/>
          </w:tcPr>
          <w:p w:rsidR="00974B16" w:rsidRDefault="00FE2F52" w:rsidP="00AC57C8">
            <w:pPr>
              <w:pStyle w:val="NoSpacing"/>
              <w:jc w:val="center"/>
            </w:pPr>
            <w:r>
              <w:t>8.7</w:t>
            </w:r>
            <w:r w:rsidR="00532426">
              <w:t>%</w:t>
            </w:r>
          </w:p>
        </w:tc>
        <w:tc>
          <w:tcPr>
            <w:tcW w:w="910" w:type="dxa"/>
            <w:shd w:val="clear" w:color="auto" w:fill="auto"/>
            <w:vAlign w:val="center"/>
          </w:tcPr>
          <w:p w:rsidR="00974B16" w:rsidRDefault="00FE2F52" w:rsidP="00AC57C8">
            <w:pPr>
              <w:pStyle w:val="NoSpacing"/>
              <w:jc w:val="center"/>
            </w:pPr>
            <w:r>
              <w:t>21.8</w:t>
            </w:r>
            <w:r w:rsidR="00532426">
              <w:t>%</w:t>
            </w:r>
          </w:p>
        </w:tc>
        <w:tc>
          <w:tcPr>
            <w:tcW w:w="911" w:type="dxa"/>
            <w:shd w:val="clear" w:color="auto" w:fill="auto"/>
            <w:vAlign w:val="center"/>
          </w:tcPr>
          <w:p w:rsidR="00974B16" w:rsidRDefault="00FE2F52" w:rsidP="00AC57C8">
            <w:pPr>
              <w:pStyle w:val="NoSpacing"/>
              <w:jc w:val="center"/>
            </w:pPr>
            <w:r>
              <w:t>13.8</w:t>
            </w:r>
            <w:r w:rsidR="00532426">
              <w:t>%</w:t>
            </w:r>
          </w:p>
        </w:tc>
        <w:tc>
          <w:tcPr>
            <w:tcW w:w="910" w:type="dxa"/>
            <w:shd w:val="clear" w:color="auto" w:fill="auto"/>
            <w:vAlign w:val="center"/>
          </w:tcPr>
          <w:p w:rsidR="00974B16" w:rsidRDefault="00FE2F52" w:rsidP="00AC57C8">
            <w:pPr>
              <w:pStyle w:val="NoSpacing"/>
              <w:jc w:val="center"/>
            </w:pPr>
            <w:r>
              <w:t>10.3</w:t>
            </w:r>
            <w:r w:rsidR="00532426">
              <w:t>%</w:t>
            </w:r>
          </w:p>
        </w:tc>
        <w:tc>
          <w:tcPr>
            <w:tcW w:w="911" w:type="dxa"/>
          </w:tcPr>
          <w:p w:rsidR="00974B16" w:rsidRDefault="00FE2F52" w:rsidP="00AC57C8">
            <w:pPr>
              <w:pStyle w:val="NoSpacing"/>
              <w:jc w:val="center"/>
            </w:pPr>
            <w:r>
              <w:t>18.3</w:t>
            </w:r>
            <w:r w:rsidR="00532426">
              <w:t>%</w:t>
            </w:r>
          </w:p>
        </w:tc>
        <w:tc>
          <w:tcPr>
            <w:tcW w:w="910" w:type="dxa"/>
            <w:shd w:val="clear" w:color="auto" w:fill="auto"/>
            <w:vAlign w:val="center"/>
          </w:tcPr>
          <w:p w:rsidR="00974B16" w:rsidRDefault="00FE2F52" w:rsidP="00AC57C8">
            <w:pPr>
              <w:pStyle w:val="NoSpacing"/>
              <w:jc w:val="center"/>
            </w:pPr>
            <w:r>
              <w:t>0.0</w:t>
            </w:r>
            <w:r w:rsidR="00532426">
              <w:t>%</w:t>
            </w:r>
          </w:p>
        </w:tc>
        <w:tc>
          <w:tcPr>
            <w:tcW w:w="911" w:type="dxa"/>
            <w:shd w:val="clear" w:color="auto" w:fill="auto"/>
            <w:vAlign w:val="center"/>
          </w:tcPr>
          <w:p w:rsidR="00974B16" w:rsidRDefault="00FE2F52" w:rsidP="00AC57C8">
            <w:pPr>
              <w:pStyle w:val="NoSpacing"/>
              <w:jc w:val="center"/>
            </w:pPr>
            <w:r>
              <w:t>20.4</w:t>
            </w:r>
            <w:r w:rsidR="00532426">
              <w:t>%</w:t>
            </w:r>
          </w:p>
        </w:tc>
        <w:tc>
          <w:tcPr>
            <w:tcW w:w="910" w:type="dxa"/>
            <w:shd w:val="clear" w:color="auto" w:fill="auto"/>
            <w:vAlign w:val="center"/>
          </w:tcPr>
          <w:p w:rsidR="00974B16" w:rsidRDefault="00105833" w:rsidP="00AC57C8">
            <w:pPr>
              <w:pStyle w:val="NoSpacing"/>
              <w:jc w:val="center"/>
            </w:pPr>
            <w:r>
              <w:t>16.2%</w:t>
            </w:r>
          </w:p>
        </w:tc>
        <w:tc>
          <w:tcPr>
            <w:tcW w:w="911" w:type="dxa"/>
            <w:vAlign w:val="center"/>
          </w:tcPr>
          <w:p w:rsidR="00974B16" w:rsidRDefault="00532426" w:rsidP="00AC57C8">
            <w:pPr>
              <w:pStyle w:val="NoSpacing"/>
              <w:jc w:val="center"/>
            </w:pPr>
            <w:r>
              <w:t>38.9%</w:t>
            </w:r>
          </w:p>
        </w:tc>
        <w:tc>
          <w:tcPr>
            <w:tcW w:w="911" w:type="dxa"/>
            <w:vAlign w:val="center"/>
          </w:tcPr>
          <w:p w:rsidR="00974B16" w:rsidRDefault="00532426" w:rsidP="00AC57C8">
            <w:pPr>
              <w:pStyle w:val="NoSpacing"/>
              <w:jc w:val="center"/>
            </w:pPr>
            <w:r>
              <w:t>4.1%</w:t>
            </w:r>
          </w:p>
        </w:tc>
      </w:tr>
      <w:tr w:rsidR="00974B16" w:rsidTr="00532426">
        <w:tc>
          <w:tcPr>
            <w:tcW w:w="3078" w:type="dxa"/>
          </w:tcPr>
          <w:p w:rsidR="00974B16" w:rsidRDefault="00974B16" w:rsidP="00FC51DE">
            <w:pPr>
              <w:pStyle w:val="NoSpacing"/>
            </w:pPr>
            <w:r>
              <w:t>Native Hawaiian/Pacific Islander</w:t>
            </w:r>
          </w:p>
        </w:tc>
        <w:tc>
          <w:tcPr>
            <w:tcW w:w="1000" w:type="dxa"/>
            <w:shd w:val="clear" w:color="auto" w:fill="auto"/>
            <w:vAlign w:val="center"/>
          </w:tcPr>
          <w:p w:rsidR="00974B16" w:rsidRDefault="00FE2F52" w:rsidP="00AC57C8">
            <w:pPr>
              <w:pStyle w:val="NoSpacing"/>
              <w:jc w:val="center"/>
            </w:pPr>
            <w:r>
              <w:t>0.2</w:t>
            </w:r>
            <w:r w:rsidR="00532426">
              <w:t>%</w:t>
            </w:r>
          </w:p>
        </w:tc>
        <w:tc>
          <w:tcPr>
            <w:tcW w:w="911" w:type="dxa"/>
            <w:vAlign w:val="center"/>
          </w:tcPr>
          <w:p w:rsidR="00974B16" w:rsidRDefault="00FE2F52" w:rsidP="00AC57C8">
            <w:pPr>
              <w:pStyle w:val="NoSpacing"/>
              <w:jc w:val="center"/>
            </w:pPr>
            <w:r>
              <w:t>0.0</w:t>
            </w:r>
            <w:r w:rsidR="00532426">
              <w:t>%</w:t>
            </w:r>
          </w:p>
        </w:tc>
        <w:tc>
          <w:tcPr>
            <w:tcW w:w="910" w:type="dxa"/>
            <w:shd w:val="clear" w:color="auto" w:fill="auto"/>
            <w:vAlign w:val="center"/>
          </w:tcPr>
          <w:p w:rsidR="00974B16" w:rsidRDefault="00FE2F52" w:rsidP="00AC57C8">
            <w:pPr>
              <w:pStyle w:val="NoSpacing"/>
              <w:jc w:val="center"/>
            </w:pPr>
            <w:r>
              <w:t>0.0</w:t>
            </w:r>
            <w:r w:rsidR="00532426">
              <w:t>%</w:t>
            </w:r>
          </w:p>
        </w:tc>
        <w:tc>
          <w:tcPr>
            <w:tcW w:w="911" w:type="dxa"/>
            <w:shd w:val="clear" w:color="auto" w:fill="auto"/>
            <w:vAlign w:val="center"/>
          </w:tcPr>
          <w:p w:rsidR="00974B16" w:rsidRDefault="00FE2F52" w:rsidP="00AC57C8">
            <w:pPr>
              <w:pStyle w:val="NoSpacing"/>
              <w:jc w:val="center"/>
            </w:pPr>
            <w:r>
              <w:t>0.0</w:t>
            </w:r>
            <w:r w:rsidR="00532426">
              <w:t>%</w:t>
            </w:r>
          </w:p>
        </w:tc>
        <w:tc>
          <w:tcPr>
            <w:tcW w:w="910" w:type="dxa"/>
            <w:shd w:val="clear" w:color="auto" w:fill="auto"/>
            <w:vAlign w:val="center"/>
          </w:tcPr>
          <w:p w:rsidR="00974B16" w:rsidRDefault="00FE2F52" w:rsidP="00AC57C8">
            <w:pPr>
              <w:pStyle w:val="NoSpacing"/>
              <w:jc w:val="center"/>
            </w:pPr>
            <w:r>
              <w:t>0.0</w:t>
            </w:r>
            <w:r w:rsidR="00532426">
              <w:t>%</w:t>
            </w:r>
          </w:p>
        </w:tc>
        <w:tc>
          <w:tcPr>
            <w:tcW w:w="911" w:type="dxa"/>
            <w:vAlign w:val="center"/>
          </w:tcPr>
          <w:p w:rsidR="00974B16" w:rsidRDefault="00FE2F52" w:rsidP="00532426">
            <w:pPr>
              <w:pStyle w:val="NoSpacing"/>
              <w:jc w:val="center"/>
            </w:pPr>
            <w:r>
              <w:t>1.4</w:t>
            </w:r>
            <w:r w:rsidR="00532426">
              <w:t>%</w:t>
            </w:r>
          </w:p>
        </w:tc>
        <w:tc>
          <w:tcPr>
            <w:tcW w:w="910" w:type="dxa"/>
            <w:shd w:val="clear" w:color="auto" w:fill="auto"/>
            <w:vAlign w:val="center"/>
          </w:tcPr>
          <w:p w:rsidR="00974B16" w:rsidRDefault="00FE2F52" w:rsidP="00AC57C8">
            <w:pPr>
              <w:pStyle w:val="NoSpacing"/>
              <w:jc w:val="center"/>
            </w:pPr>
            <w:r>
              <w:t>0.0</w:t>
            </w:r>
            <w:r w:rsidR="00532426">
              <w:t>%</w:t>
            </w:r>
          </w:p>
        </w:tc>
        <w:tc>
          <w:tcPr>
            <w:tcW w:w="911" w:type="dxa"/>
            <w:shd w:val="clear" w:color="auto" w:fill="auto"/>
            <w:vAlign w:val="center"/>
          </w:tcPr>
          <w:p w:rsidR="00974B16" w:rsidRDefault="00FE2F52" w:rsidP="00AC57C8">
            <w:pPr>
              <w:pStyle w:val="NoSpacing"/>
              <w:jc w:val="center"/>
            </w:pPr>
            <w:r>
              <w:t>0.0</w:t>
            </w:r>
            <w:r w:rsidR="00532426">
              <w:t>%</w:t>
            </w:r>
          </w:p>
        </w:tc>
        <w:tc>
          <w:tcPr>
            <w:tcW w:w="910" w:type="dxa"/>
            <w:shd w:val="clear" w:color="auto" w:fill="auto"/>
            <w:vAlign w:val="center"/>
          </w:tcPr>
          <w:p w:rsidR="00974B16" w:rsidRDefault="00105833" w:rsidP="00AC57C8">
            <w:pPr>
              <w:pStyle w:val="NoSpacing"/>
              <w:jc w:val="center"/>
            </w:pPr>
            <w:r>
              <w:t>0.0%</w:t>
            </w:r>
          </w:p>
        </w:tc>
        <w:tc>
          <w:tcPr>
            <w:tcW w:w="911" w:type="dxa"/>
            <w:vAlign w:val="center"/>
          </w:tcPr>
          <w:p w:rsidR="00974B16" w:rsidRDefault="00532426" w:rsidP="00AC57C8">
            <w:pPr>
              <w:pStyle w:val="NoSpacing"/>
              <w:jc w:val="center"/>
            </w:pPr>
            <w:r>
              <w:t>0.0%</w:t>
            </w:r>
          </w:p>
        </w:tc>
        <w:tc>
          <w:tcPr>
            <w:tcW w:w="911" w:type="dxa"/>
            <w:vAlign w:val="center"/>
          </w:tcPr>
          <w:p w:rsidR="00974B16" w:rsidRDefault="00532426" w:rsidP="00AC57C8">
            <w:pPr>
              <w:pStyle w:val="NoSpacing"/>
              <w:jc w:val="center"/>
            </w:pPr>
            <w:r>
              <w:t>2.0%</w:t>
            </w:r>
          </w:p>
        </w:tc>
      </w:tr>
      <w:tr w:rsidR="00974B16" w:rsidTr="00532426">
        <w:tc>
          <w:tcPr>
            <w:tcW w:w="3078" w:type="dxa"/>
          </w:tcPr>
          <w:p w:rsidR="00974B16" w:rsidRDefault="00974B16" w:rsidP="00FC51DE">
            <w:pPr>
              <w:pStyle w:val="NoSpacing"/>
            </w:pPr>
            <w:r>
              <w:t>American Indian/Native Alaskan</w:t>
            </w:r>
          </w:p>
        </w:tc>
        <w:tc>
          <w:tcPr>
            <w:tcW w:w="1000" w:type="dxa"/>
            <w:shd w:val="clear" w:color="auto" w:fill="auto"/>
            <w:vAlign w:val="center"/>
          </w:tcPr>
          <w:p w:rsidR="00974B16" w:rsidRDefault="00FE2F52" w:rsidP="00AC57C8">
            <w:pPr>
              <w:pStyle w:val="NoSpacing"/>
              <w:jc w:val="center"/>
            </w:pPr>
            <w:r>
              <w:t>0.9</w:t>
            </w:r>
            <w:r w:rsidR="00532426">
              <w:t>%</w:t>
            </w:r>
          </w:p>
        </w:tc>
        <w:tc>
          <w:tcPr>
            <w:tcW w:w="911" w:type="dxa"/>
            <w:vAlign w:val="center"/>
          </w:tcPr>
          <w:p w:rsidR="00974B16" w:rsidRDefault="00FE2F52" w:rsidP="00AC57C8">
            <w:pPr>
              <w:pStyle w:val="NoSpacing"/>
              <w:jc w:val="center"/>
            </w:pPr>
            <w:r>
              <w:t>0.0</w:t>
            </w:r>
            <w:r w:rsidR="00532426">
              <w:t>%</w:t>
            </w:r>
          </w:p>
        </w:tc>
        <w:tc>
          <w:tcPr>
            <w:tcW w:w="910" w:type="dxa"/>
            <w:shd w:val="clear" w:color="auto" w:fill="auto"/>
            <w:vAlign w:val="center"/>
          </w:tcPr>
          <w:p w:rsidR="00974B16" w:rsidRDefault="00FE2F52" w:rsidP="00AC57C8">
            <w:pPr>
              <w:pStyle w:val="NoSpacing"/>
              <w:jc w:val="center"/>
            </w:pPr>
            <w:r>
              <w:t>0.0</w:t>
            </w:r>
            <w:r w:rsidR="00532426">
              <w:t>%</w:t>
            </w:r>
          </w:p>
        </w:tc>
        <w:tc>
          <w:tcPr>
            <w:tcW w:w="911" w:type="dxa"/>
            <w:shd w:val="clear" w:color="auto" w:fill="auto"/>
            <w:vAlign w:val="center"/>
          </w:tcPr>
          <w:p w:rsidR="00974B16" w:rsidRDefault="00FE2F52" w:rsidP="00AC57C8">
            <w:pPr>
              <w:pStyle w:val="NoSpacing"/>
              <w:jc w:val="center"/>
            </w:pPr>
            <w:r>
              <w:t>0.0</w:t>
            </w:r>
            <w:r w:rsidR="00532426">
              <w:t>%</w:t>
            </w:r>
          </w:p>
        </w:tc>
        <w:tc>
          <w:tcPr>
            <w:tcW w:w="910" w:type="dxa"/>
            <w:shd w:val="clear" w:color="auto" w:fill="auto"/>
            <w:vAlign w:val="center"/>
          </w:tcPr>
          <w:p w:rsidR="00974B16" w:rsidRDefault="00FE2F52" w:rsidP="00AC57C8">
            <w:pPr>
              <w:pStyle w:val="NoSpacing"/>
              <w:jc w:val="center"/>
            </w:pPr>
            <w:r>
              <w:t>0.0</w:t>
            </w:r>
            <w:r w:rsidR="00532426">
              <w:t>%</w:t>
            </w:r>
          </w:p>
        </w:tc>
        <w:tc>
          <w:tcPr>
            <w:tcW w:w="911" w:type="dxa"/>
            <w:vAlign w:val="center"/>
          </w:tcPr>
          <w:p w:rsidR="00974B16" w:rsidRDefault="00FE2F52" w:rsidP="00532426">
            <w:pPr>
              <w:pStyle w:val="NoSpacing"/>
              <w:jc w:val="center"/>
            </w:pPr>
            <w:r>
              <w:t>0.0</w:t>
            </w:r>
            <w:r w:rsidR="00532426">
              <w:t>%</w:t>
            </w:r>
          </w:p>
        </w:tc>
        <w:tc>
          <w:tcPr>
            <w:tcW w:w="910" w:type="dxa"/>
            <w:shd w:val="clear" w:color="auto" w:fill="auto"/>
            <w:vAlign w:val="center"/>
          </w:tcPr>
          <w:p w:rsidR="00974B16" w:rsidRDefault="00FE2F52" w:rsidP="00AC57C8">
            <w:pPr>
              <w:pStyle w:val="NoSpacing"/>
              <w:jc w:val="center"/>
            </w:pPr>
            <w:r>
              <w:t>0.0</w:t>
            </w:r>
            <w:r w:rsidR="00532426">
              <w:t>%</w:t>
            </w:r>
          </w:p>
        </w:tc>
        <w:tc>
          <w:tcPr>
            <w:tcW w:w="911" w:type="dxa"/>
            <w:shd w:val="clear" w:color="auto" w:fill="auto"/>
            <w:vAlign w:val="center"/>
          </w:tcPr>
          <w:p w:rsidR="00974B16" w:rsidRDefault="00FE2F52" w:rsidP="00AC57C8">
            <w:pPr>
              <w:pStyle w:val="NoSpacing"/>
              <w:jc w:val="center"/>
            </w:pPr>
            <w:r>
              <w:t>0.0</w:t>
            </w:r>
            <w:r w:rsidR="00532426">
              <w:t>%</w:t>
            </w:r>
          </w:p>
        </w:tc>
        <w:tc>
          <w:tcPr>
            <w:tcW w:w="910" w:type="dxa"/>
            <w:shd w:val="clear" w:color="auto" w:fill="auto"/>
            <w:vAlign w:val="center"/>
          </w:tcPr>
          <w:p w:rsidR="00974B16" w:rsidRDefault="00105833" w:rsidP="00AC57C8">
            <w:pPr>
              <w:pStyle w:val="NoSpacing"/>
              <w:jc w:val="center"/>
            </w:pPr>
            <w:r>
              <w:t>0.0%</w:t>
            </w:r>
          </w:p>
        </w:tc>
        <w:tc>
          <w:tcPr>
            <w:tcW w:w="911" w:type="dxa"/>
            <w:vAlign w:val="center"/>
          </w:tcPr>
          <w:p w:rsidR="00974B16" w:rsidRDefault="00532426" w:rsidP="00AC57C8">
            <w:pPr>
              <w:pStyle w:val="NoSpacing"/>
              <w:jc w:val="center"/>
            </w:pPr>
            <w:r>
              <w:t>0.0%</w:t>
            </w:r>
          </w:p>
        </w:tc>
        <w:tc>
          <w:tcPr>
            <w:tcW w:w="911" w:type="dxa"/>
            <w:vAlign w:val="center"/>
          </w:tcPr>
          <w:p w:rsidR="00974B16" w:rsidRDefault="00532426" w:rsidP="00AC57C8">
            <w:pPr>
              <w:pStyle w:val="NoSpacing"/>
              <w:jc w:val="center"/>
            </w:pPr>
            <w:r>
              <w:t>4.1%</w:t>
            </w:r>
          </w:p>
        </w:tc>
      </w:tr>
      <w:tr w:rsidR="00974B16" w:rsidTr="00974B16">
        <w:tc>
          <w:tcPr>
            <w:tcW w:w="3078" w:type="dxa"/>
          </w:tcPr>
          <w:p w:rsidR="00974B16" w:rsidRDefault="00974B16" w:rsidP="00A5420F">
            <w:pPr>
              <w:pStyle w:val="NoSpacing"/>
            </w:pPr>
            <w:r>
              <w:t>Other</w:t>
            </w:r>
          </w:p>
        </w:tc>
        <w:tc>
          <w:tcPr>
            <w:tcW w:w="1000" w:type="dxa"/>
            <w:shd w:val="clear" w:color="auto" w:fill="auto"/>
            <w:vAlign w:val="center"/>
          </w:tcPr>
          <w:p w:rsidR="00974B16" w:rsidRDefault="00FE2F52" w:rsidP="00AC57C8">
            <w:pPr>
              <w:pStyle w:val="NoSpacing"/>
              <w:jc w:val="center"/>
            </w:pPr>
            <w:r>
              <w:t>3.0</w:t>
            </w:r>
            <w:r w:rsidR="00532426">
              <w:t>%</w:t>
            </w:r>
          </w:p>
        </w:tc>
        <w:tc>
          <w:tcPr>
            <w:tcW w:w="911" w:type="dxa"/>
            <w:vAlign w:val="center"/>
          </w:tcPr>
          <w:p w:rsidR="00974B16" w:rsidRDefault="00FE2F52" w:rsidP="00AC57C8">
            <w:pPr>
              <w:pStyle w:val="NoSpacing"/>
              <w:jc w:val="center"/>
            </w:pPr>
            <w:r>
              <w:t>4.3</w:t>
            </w:r>
            <w:r w:rsidR="00532426">
              <w:t>%</w:t>
            </w:r>
          </w:p>
        </w:tc>
        <w:tc>
          <w:tcPr>
            <w:tcW w:w="910" w:type="dxa"/>
            <w:shd w:val="clear" w:color="auto" w:fill="auto"/>
            <w:vAlign w:val="center"/>
          </w:tcPr>
          <w:p w:rsidR="00974B16" w:rsidRDefault="00FE2F52" w:rsidP="00AC57C8">
            <w:pPr>
              <w:pStyle w:val="NoSpacing"/>
              <w:jc w:val="center"/>
            </w:pPr>
            <w:r>
              <w:t>7.3</w:t>
            </w:r>
            <w:r w:rsidR="00532426">
              <w:t>%</w:t>
            </w:r>
          </w:p>
        </w:tc>
        <w:tc>
          <w:tcPr>
            <w:tcW w:w="911" w:type="dxa"/>
            <w:shd w:val="clear" w:color="auto" w:fill="auto"/>
            <w:vAlign w:val="center"/>
          </w:tcPr>
          <w:p w:rsidR="00974B16" w:rsidRDefault="00FE2F52" w:rsidP="00AC57C8">
            <w:pPr>
              <w:pStyle w:val="NoSpacing"/>
              <w:jc w:val="center"/>
            </w:pPr>
            <w:r>
              <w:t>3.4</w:t>
            </w:r>
            <w:r w:rsidR="00532426">
              <w:t>%</w:t>
            </w:r>
          </w:p>
        </w:tc>
        <w:tc>
          <w:tcPr>
            <w:tcW w:w="910" w:type="dxa"/>
            <w:shd w:val="clear" w:color="auto" w:fill="auto"/>
            <w:vAlign w:val="center"/>
          </w:tcPr>
          <w:p w:rsidR="00974B16" w:rsidRDefault="00FE2F52" w:rsidP="00AC57C8">
            <w:pPr>
              <w:pStyle w:val="NoSpacing"/>
              <w:jc w:val="center"/>
            </w:pPr>
            <w:r>
              <w:t>5.1</w:t>
            </w:r>
            <w:r w:rsidR="00532426">
              <w:t>%</w:t>
            </w:r>
          </w:p>
        </w:tc>
        <w:tc>
          <w:tcPr>
            <w:tcW w:w="911" w:type="dxa"/>
          </w:tcPr>
          <w:p w:rsidR="00974B16" w:rsidRDefault="00FE2F52" w:rsidP="00AC57C8">
            <w:pPr>
              <w:pStyle w:val="NoSpacing"/>
              <w:jc w:val="center"/>
            </w:pPr>
            <w:r>
              <w:t>11.3</w:t>
            </w:r>
            <w:r w:rsidR="00532426">
              <w:t>%</w:t>
            </w:r>
          </w:p>
        </w:tc>
        <w:tc>
          <w:tcPr>
            <w:tcW w:w="910" w:type="dxa"/>
            <w:shd w:val="clear" w:color="auto" w:fill="auto"/>
            <w:vAlign w:val="center"/>
          </w:tcPr>
          <w:p w:rsidR="00974B16" w:rsidRDefault="00FE2F52" w:rsidP="00AC57C8">
            <w:pPr>
              <w:pStyle w:val="NoSpacing"/>
              <w:jc w:val="center"/>
            </w:pPr>
            <w:r>
              <w:t>5.6</w:t>
            </w:r>
            <w:r w:rsidR="00532426">
              <w:t>%</w:t>
            </w:r>
          </w:p>
        </w:tc>
        <w:tc>
          <w:tcPr>
            <w:tcW w:w="911" w:type="dxa"/>
            <w:shd w:val="clear" w:color="auto" w:fill="auto"/>
            <w:vAlign w:val="center"/>
          </w:tcPr>
          <w:p w:rsidR="00974B16" w:rsidRDefault="00532426" w:rsidP="00AC57C8">
            <w:pPr>
              <w:pStyle w:val="NoSpacing"/>
              <w:jc w:val="center"/>
            </w:pPr>
            <w:r>
              <w:t>12.0%</w:t>
            </w:r>
          </w:p>
        </w:tc>
        <w:tc>
          <w:tcPr>
            <w:tcW w:w="910" w:type="dxa"/>
            <w:shd w:val="clear" w:color="auto" w:fill="auto"/>
            <w:vAlign w:val="center"/>
          </w:tcPr>
          <w:p w:rsidR="00974B16" w:rsidRDefault="00105833" w:rsidP="00AC57C8">
            <w:pPr>
              <w:pStyle w:val="NoSpacing"/>
              <w:jc w:val="center"/>
            </w:pPr>
            <w:r>
              <w:t>7.4%</w:t>
            </w:r>
          </w:p>
        </w:tc>
        <w:tc>
          <w:tcPr>
            <w:tcW w:w="911" w:type="dxa"/>
            <w:vAlign w:val="center"/>
          </w:tcPr>
          <w:p w:rsidR="00974B16" w:rsidRDefault="00532426" w:rsidP="00AC57C8">
            <w:pPr>
              <w:pStyle w:val="NoSpacing"/>
              <w:jc w:val="center"/>
            </w:pPr>
            <w:r>
              <w:t>11.1%</w:t>
            </w:r>
          </w:p>
        </w:tc>
        <w:tc>
          <w:tcPr>
            <w:tcW w:w="911" w:type="dxa"/>
            <w:vAlign w:val="center"/>
          </w:tcPr>
          <w:p w:rsidR="00974B16" w:rsidRDefault="00532426" w:rsidP="00AC57C8">
            <w:pPr>
              <w:pStyle w:val="NoSpacing"/>
              <w:jc w:val="center"/>
            </w:pPr>
            <w:r>
              <w:t>2.0%</w:t>
            </w:r>
          </w:p>
        </w:tc>
      </w:tr>
      <w:tr w:rsidR="00974B16" w:rsidTr="00974B16">
        <w:tc>
          <w:tcPr>
            <w:tcW w:w="3078" w:type="dxa"/>
          </w:tcPr>
          <w:p w:rsidR="00974B16" w:rsidRDefault="00974B16" w:rsidP="00A5420F">
            <w:pPr>
              <w:pStyle w:val="NoSpacing"/>
            </w:pPr>
            <w:r>
              <w:t>Hispanic (any race)</w:t>
            </w:r>
          </w:p>
        </w:tc>
        <w:tc>
          <w:tcPr>
            <w:tcW w:w="1000" w:type="dxa"/>
            <w:shd w:val="clear" w:color="auto" w:fill="auto"/>
            <w:vAlign w:val="center"/>
          </w:tcPr>
          <w:p w:rsidR="00974B16" w:rsidRDefault="0031488C" w:rsidP="00AC57C8">
            <w:pPr>
              <w:pStyle w:val="NoSpacing"/>
              <w:jc w:val="center"/>
            </w:pPr>
            <w:r>
              <w:t>7.5</w:t>
            </w:r>
            <w:r w:rsidR="00532426">
              <w:t>%</w:t>
            </w:r>
          </w:p>
        </w:tc>
        <w:tc>
          <w:tcPr>
            <w:tcW w:w="911" w:type="dxa"/>
            <w:vAlign w:val="center"/>
          </w:tcPr>
          <w:p w:rsidR="00974B16" w:rsidRDefault="0031488C" w:rsidP="00AC57C8">
            <w:pPr>
              <w:pStyle w:val="NoSpacing"/>
              <w:jc w:val="center"/>
            </w:pPr>
            <w:r>
              <w:t>13.0</w:t>
            </w:r>
            <w:r w:rsidR="00532426">
              <w:t>%</w:t>
            </w:r>
          </w:p>
        </w:tc>
        <w:tc>
          <w:tcPr>
            <w:tcW w:w="910" w:type="dxa"/>
            <w:shd w:val="clear" w:color="auto" w:fill="auto"/>
            <w:vAlign w:val="center"/>
          </w:tcPr>
          <w:p w:rsidR="00974B16" w:rsidRDefault="0031488C" w:rsidP="00AC57C8">
            <w:pPr>
              <w:pStyle w:val="NoSpacing"/>
              <w:jc w:val="center"/>
            </w:pPr>
            <w:r>
              <w:t>9.6</w:t>
            </w:r>
            <w:r w:rsidR="00532426">
              <w:t>%</w:t>
            </w:r>
          </w:p>
        </w:tc>
        <w:tc>
          <w:tcPr>
            <w:tcW w:w="911" w:type="dxa"/>
            <w:shd w:val="clear" w:color="auto" w:fill="auto"/>
            <w:vAlign w:val="center"/>
          </w:tcPr>
          <w:p w:rsidR="00974B16" w:rsidRDefault="0031488C" w:rsidP="00AC57C8">
            <w:pPr>
              <w:pStyle w:val="NoSpacing"/>
              <w:jc w:val="center"/>
            </w:pPr>
            <w:r>
              <w:t>7.7</w:t>
            </w:r>
            <w:r w:rsidR="00532426">
              <w:t>%</w:t>
            </w:r>
          </w:p>
        </w:tc>
        <w:tc>
          <w:tcPr>
            <w:tcW w:w="910" w:type="dxa"/>
            <w:shd w:val="clear" w:color="auto" w:fill="auto"/>
            <w:vAlign w:val="center"/>
          </w:tcPr>
          <w:p w:rsidR="00974B16" w:rsidRDefault="0031488C" w:rsidP="00AC57C8">
            <w:pPr>
              <w:pStyle w:val="NoSpacing"/>
              <w:jc w:val="center"/>
            </w:pPr>
            <w:r>
              <w:t>13.9</w:t>
            </w:r>
            <w:r w:rsidR="00532426">
              <w:t>%</w:t>
            </w:r>
          </w:p>
        </w:tc>
        <w:tc>
          <w:tcPr>
            <w:tcW w:w="911" w:type="dxa"/>
          </w:tcPr>
          <w:p w:rsidR="00974B16" w:rsidRDefault="0031488C" w:rsidP="00AC57C8">
            <w:pPr>
              <w:pStyle w:val="NoSpacing"/>
              <w:jc w:val="center"/>
            </w:pPr>
            <w:r>
              <w:t>70.3</w:t>
            </w:r>
            <w:r w:rsidR="00532426">
              <w:t>%</w:t>
            </w:r>
          </w:p>
        </w:tc>
        <w:tc>
          <w:tcPr>
            <w:tcW w:w="910" w:type="dxa"/>
            <w:shd w:val="clear" w:color="auto" w:fill="auto"/>
            <w:vAlign w:val="center"/>
          </w:tcPr>
          <w:p w:rsidR="00974B16" w:rsidRDefault="0031488C" w:rsidP="00AC57C8">
            <w:pPr>
              <w:pStyle w:val="NoSpacing"/>
              <w:jc w:val="center"/>
            </w:pPr>
            <w:r>
              <w:t>6.7</w:t>
            </w:r>
            <w:r w:rsidR="00532426">
              <w:t>%</w:t>
            </w:r>
          </w:p>
        </w:tc>
        <w:tc>
          <w:tcPr>
            <w:tcW w:w="911" w:type="dxa"/>
            <w:shd w:val="clear" w:color="auto" w:fill="auto"/>
            <w:vAlign w:val="center"/>
          </w:tcPr>
          <w:p w:rsidR="00974B16" w:rsidRDefault="0031488C" w:rsidP="00AC57C8">
            <w:pPr>
              <w:pStyle w:val="NoSpacing"/>
              <w:jc w:val="center"/>
            </w:pPr>
            <w:r>
              <w:t>25.0</w:t>
            </w:r>
            <w:r w:rsidR="00532426">
              <w:t>%</w:t>
            </w:r>
          </w:p>
        </w:tc>
        <w:tc>
          <w:tcPr>
            <w:tcW w:w="910" w:type="dxa"/>
            <w:shd w:val="clear" w:color="auto" w:fill="auto"/>
            <w:vAlign w:val="center"/>
          </w:tcPr>
          <w:p w:rsidR="00974B16" w:rsidRDefault="00105833" w:rsidP="00AC57C8">
            <w:pPr>
              <w:pStyle w:val="NoSpacing"/>
              <w:jc w:val="center"/>
            </w:pPr>
            <w:r>
              <w:t>9.2%</w:t>
            </w:r>
          </w:p>
        </w:tc>
        <w:tc>
          <w:tcPr>
            <w:tcW w:w="911" w:type="dxa"/>
            <w:vAlign w:val="center"/>
          </w:tcPr>
          <w:p w:rsidR="00974B16" w:rsidRDefault="0031488C" w:rsidP="00AC57C8">
            <w:pPr>
              <w:pStyle w:val="NoSpacing"/>
              <w:jc w:val="center"/>
            </w:pPr>
            <w:r>
              <w:t>14.3</w:t>
            </w:r>
            <w:r w:rsidR="00532426">
              <w:t>%</w:t>
            </w:r>
          </w:p>
        </w:tc>
        <w:tc>
          <w:tcPr>
            <w:tcW w:w="911" w:type="dxa"/>
            <w:vAlign w:val="center"/>
          </w:tcPr>
          <w:p w:rsidR="00974B16" w:rsidRDefault="0031488C" w:rsidP="00AC57C8">
            <w:pPr>
              <w:pStyle w:val="NoSpacing"/>
              <w:jc w:val="center"/>
            </w:pPr>
            <w:r>
              <w:t>6.5</w:t>
            </w:r>
            <w:r w:rsidR="00532426">
              <w:t>%</w:t>
            </w:r>
          </w:p>
        </w:tc>
      </w:tr>
    </w:tbl>
    <w:p w:rsidR="006C3F26" w:rsidRPr="00891F80" w:rsidRDefault="00891F80" w:rsidP="00A5420F">
      <w:pPr>
        <w:pStyle w:val="NoSpacing"/>
        <w:rPr>
          <w:i/>
          <w:sz w:val="20"/>
          <w:szCs w:val="20"/>
        </w:rPr>
      </w:pPr>
      <w:r w:rsidRPr="00891F80">
        <w:rPr>
          <w:i/>
          <w:sz w:val="20"/>
          <w:szCs w:val="20"/>
        </w:rPr>
        <w:t>*Note: Respondents could choose more than one response.</w:t>
      </w:r>
    </w:p>
    <w:p w:rsidR="00891F80" w:rsidRDefault="00891F80" w:rsidP="00A5420F">
      <w:pPr>
        <w:pStyle w:val="NoSpacing"/>
      </w:pPr>
    </w:p>
    <w:p w:rsidR="00B715F3" w:rsidRDefault="008944C9" w:rsidP="00B715F3">
      <w:r>
        <w:t xml:space="preserve">More </w:t>
      </w:r>
      <w:r w:rsidR="00B715F3">
        <w:t xml:space="preserve">patients </w:t>
      </w:r>
      <w:r w:rsidR="009520AA">
        <w:t xml:space="preserve">who </w:t>
      </w:r>
      <w:r>
        <w:t>completed surveys at</w:t>
      </w:r>
      <w:r w:rsidR="00B715F3">
        <w:t xml:space="preserve"> the </w:t>
      </w:r>
      <w:r w:rsidR="004C22C6">
        <w:t>Oral Medicine (9</w:t>
      </w:r>
      <w:r w:rsidR="00696640">
        <w:t>4.4</w:t>
      </w:r>
      <w:r w:rsidR="004C22C6">
        <w:t xml:space="preserve">%), </w:t>
      </w:r>
      <w:r w:rsidR="00AC57C8">
        <w:t xml:space="preserve">Graduate </w:t>
      </w:r>
      <w:r w:rsidR="00B715F3">
        <w:t>Periodontics</w:t>
      </w:r>
      <w:r w:rsidR="004C22C6">
        <w:t xml:space="preserve"> (8</w:t>
      </w:r>
      <w:r w:rsidR="00696640">
        <w:t>2.8</w:t>
      </w:r>
      <w:r w:rsidR="004C22C6">
        <w:t>%),</w:t>
      </w:r>
      <w:r w:rsidR="00B715F3">
        <w:t xml:space="preserve"> </w:t>
      </w:r>
      <w:r w:rsidR="00696640">
        <w:t xml:space="preserve">Student Clinics (82.4%), </w:t>
      </w:r>
      <w:r w:rsidR="00891F80">
        <w:t>and Graduate Prosthodontics</w:t>
      </w:r>
      <w:r w:rsidR="004C22C6">
        <w:t xml:space="preserve"> (82.</w:t>
      </w:r>
      <w:r w:rsidR="00696640">
        <w:t>1</w:t>
      </w:r>
      <w:r w:rsidR="004C22C6">
        <w:t>%)</w:t>
      </w:r>
      <w:r w:rsidR="00891F80">
        <w:t xml:space="preserve"> c</w:t>
      </w:r>
      <w:r w:rsidR="00B715F3">
        <w:t>linic</w:t>
      </w:r>
      <w:r w:rsidR="00891F80">
        <w:t>s</w:t>
      </w:r>
      <w:r w:rsidR="00B715F3">
        <w:t xml:space="preserve"> </w:t>
      </w:r>
      <w:r w:rsidR="009520AA">
        <w:t>describe</w:t>
      </w:r>
      <w:r w:rsidR="00696640">
        <w:t>d</w:t>
      </w:r>
      <w:r w:rsidR="009520AA">
        <w:t xml:space="preserve"> themselves as “White” </w:t>
      </w:r>
      <w:r w:rsidR="00B715F3">
        <w:t xml:space="preserve">than </w:t>
      </w:r>
      <w:r w:rsidR="00AC57C8">
        <w:t xml:space="preserve">those at </w:t>
      </w:r>
      <w:r w:rsidR="00B715F3">
        <w:t xml:space="preserve">the other UF dental clinics. </w:t>
      </w:r>
      <w:r>
        <w:t xml:space="preserve">More </w:t>
      </w:r>
      <w:r w:rsidR="00B715F3">
        <w:t xml:space="preserve">patients </w:t>
      </w:r>
      <w:r w:rsidR="004C22C6">
        <w:t xml:space="preserve">who </w:t>
      </w:r>
      <w:r>
        <w:t>completed surveys at</w:t>
      </w:r>
      <w:r w:rsidR="009520AA">
        <w:t xml:space="preserve"> the </w:t>
      </w:r>
      <w:r w:rsidR="00F71058">
        <w:t>Pediatrics</w:t>
      </w:r>
      <w:r w:rsidR="004C22C6">
        <w:t xml:space="preserve"> (3</w:t>
      </w:r>
      <w:r w:rsidR="00696640">
        <w:t>8.9%</w:t>
      </w:r>
      <w:r w:rsidR="004C22C6">
        <w:t>)</w:t>
      </w:r>
      <w:r w:rsidR="00891F80">
        <w:t xml:space="preserve">, </w:t>
      </w:r>
      <w:r w:rsidR="00696640">
        <w:t xml:space="preserve">Graduate </w:t>
      </w:r>
      <w:r w:rsidR="00891F80">
        <w:t>Endodontics</w:t>
      </w:r>
      <w:r w:rsidR="004C22C6">
        <w:t xml:space="preserve"> (2</w:t>
      </w:r>
      <w:r w:rsidR="00696640">
        <w:t>1.8</w:t>
      </w:r>
      <w:r w:rsidR="004C22C6">
        <w:t>%)</w:t>
      </w:r>
      <w:r w:rsidR="00891F80">
        <w:t>,</w:t>
      </w:r>
      <w:r w:rsidR="00F71058">
        <w:t xml:space="preserve"> </w:t>
      </w:r>
      <w:r w:rsidR="004C22C6">
        <w:t>Orthodontics (20.</w:t>
      </w:r>
      <w:r w:rsidR="00696640">
        <w:t>4</w:t>
      </w:r>
      <w:r w:rsidR="004C22C6">
        <w:t xml:space="preserve">%), </w:t>
      </w:r>
      <w:r w:rsidR="00F71058">
        <w:t xml:space="preserve">and </w:t>
      </w:r>
      <w:r w:rsidR="00696640">
        <w:t>Hialeah</w:t>
      </w:r>
      <w:r w:rsidR="004C22C6">
        <w:t xml:space="preserve"> (</w:t>
      </w:r>
      <w:r w:rsidR="00696640">
        <w:t>18.3</w:t>
      </w:r>
      <w:r w:rsidR="004C22C6">
        <w:t xml:space="preserve">%) </w:t>
      </w:r>
      <w:r w:rsidR="009520AA">
        <w:t>clinic</w:t>
      </w:r>
      <w:r w:rsidR="00F71058">
        <w:t>s</w:t>
      </w:r>
      <w:r w:rsidR="009520AA">
        <w:t xml:space="preserve"> describe</w:t>
      </w:r>
      <w:r w:rsidR="00696640">
        <w:t>d</w:t>
      </w:r>
      <w:r w:rsidR="009520AA">
        <w:t xml:space="preserve"> themselves as </w:t>
      </w:r>
      <w:r w:rsidR="004C22C6">
        <w:t>Black/</w:t>
      </w:r>
      <w:r w:rsidR="009520AA">
        <w:t xml:space="preserve">African American </w:t>
      </w:r>
      <w:r w:rsidR="00B715F3">
        <w:t xml:space="preserve">than </w:t>
      </w:r>
      <w:r w:rsidR="00F71058">
        <w:t xml:space="preserve">those at the </w:t>
      </w:r>
      <w:r w:rsidR="00B715F3">
        <w:t xml:space="preserve">other clinics. </w:t>
      </w:r>
      <w:r w:rsidR="00891F80">
        <w:t xml:space="preserve">More patients at the </w:t>
      </w:r>
      <w:r w:rsidR="00696640">
        <w:t>Hialeah (</w:t>
      </w:r>
      <w:proofErr w:type="gramStart"/>
      <w:r w:rsidR="00696640">
        <w:t>70.3%),</w:t>
      </w:r>
      <w:proofErr w:type="gramEnd"/>
      <w:r w:rsidR="00696640">
        <w:t xml:space="preserve"> </w:t>
      </w:r>
      <w:r w:rsidR="00105833">
        <w:t xml:space="preserve">and </w:t>
      </w:r>
      <w:r w:rsidR="004C22C6">
        <w:t>Orthodontics (2</w:t>
      </w:r>
      <w:r w:rsidR="00696640">
        <w:t>5.0</w:t>
      </w:r>
      <w:r w:rsidR="004C22C6">
        <w:t>%)</w:t>
      </w:r>
      <w:r w:rsidR="00105833">
        <w:t xml:space="preserve"> </w:t>
      </w:r>
      <w:r w:rsidR="004C22C6">
        <w:t>clin</w:t>
      </w:r>
      <w:r w:rsidR="00696640">
        <w:t>i</w:t>
      </w:r>
      <w:r w:rsidR="004C22C6">
        <w:t>cs</w:t>
      </w:r>
      <w:r w:rsidR="00891F80">
        <w:t xml:space="preserve"> describe</w:t>
      </w:r>
      <w:r w:rsidR="00696640">
        <w:t>d</w:t>
      </w:r>
      <w:r w:rsidR="00891F80">
        <w:t xml:space="preserve"> themselves as Hispanic than those at other clinics.</w:t>
      </w:r>
    </w:p>
    <w:p w:rsidR="00B715F3" w:rsidRDefault="00B715F3" w:rsidP="00A5420F">
      <w:pPr>
        <w:pStyle w:val="NoSpacing"/>
      </w:pPr>
    </w:p>
    <w:p w:rsidR="008B3F8C" w:rsidRDefault="008B3F8C" w:rsidP="008B3F8C">
      <w:pPr>
        <w:pStyle w:val="NoSpacing"/>
      </w:pPr>
    </w:p>
    <w:p w:rsidR="008B3F8C" w:rsidRDefault="008B3F8C" w:rsidP="008B3F8C">
      <w:pPr>
        <w:pStyle w:val="NoSpacing"/>
      </w:pPr>
    </w:p>
    <w:p w:rsidR="008B3F8C" w:rsidRDefault="008B3F8C" w:rsidP="008B3F8C">
      <w:pPr>
        <w:pStyle w:val="NoSpacing"/>
      </w:pPr>
    </w:p>
    <w:p w:rsidR="008B3F8C" w:rsidRDefault="008B3F8C" w:rsidP="008B3F8C">
      <w:pPr>
        <w:pStyle w:val="NoSpacing"/>
      </w:pPr>
    </w:p>
    <w:p w:rsidR="008B3F8C" w:rsidRDefault="008B3F8C" w:rsidP="00A5420F">
      <w:pPr>
        <w:pStyle w:val="NoSpacing"/>
      </w:pPr>
    </w:p>
    <w:p w:rsidR="006C3F26" w:rsidRDefault="006C3F26" w:rsidP="00DC195A">
      <w:pPr>
        <w:pStyle w:val="NoSpacing"/>
        <w:jc w:val="center"/>
      </w:pPr>
      <w:r>
        <w:rPr>
          <w:noProof/>
        </w:rPr>
        <w:lastRenderedPageBreak/>
        <w:drawing>
          <wp:inline distT="0" distB="0" distL="0" distR="0">
            <wp:extent cx="8096250" cy="3609975"/>
            <wp:effectExtent l="19050" t="0" r="190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447E" w:rsidRPr="00891F80" w:rsidRDefault="0061447E" w:rsidP="0061447E">
      <w:pPr>
        <w:pStyle w:val="NoSpacing"/>
        <w:rPr>
          <w:i/>
          <w:sz w:val="20"/>
          <w:szCs w:val="20"/>
        </w:rPr>
      </w:pPr>
      <w:r w:rsidRPr="00891F80">
        <w:rPr>
          <w:i/>
          <w:sz w:val="20"/>
          <w:szCs w:val="20"/>
        </w:rPr>
        <w:t>*Note: Respondents could choose more than one response.</w:t>
      </w:r>
    </w:p>
    <w:p w:rsidR="00E267C3" w:rsidRDefault="00E267C3">
      <w:pPr>
        <w:spacing w:after="200" w:line="276" w:lineRule="auto"/>
        <w:rPr>
          <w:rFonts w:asciiTheme="majorHAnsi" w:eastAsiaTheme="majorEastAsia" w:hAnsiTheme="majorHAnsi" w:cstheme="majorBidi"/>
          <w:b/>
          <w:bCs/>
          <w:color w:val="4F81BD" w:themeColor="accent1"/>
          <w:sz w:val="26"/>
          <w:szCs w:val="26"/>
        </w:rPr>
      </w:pPr>
      <w:r>
        <w:br w:type="page"/>
      </w:r>
    </w:p>
    <w:p w:rsidR="000561DA" w:rsidRDefault="00E267C3" w:rsidP="00E267C3">
      <w:pPr>
        <w:pStyle w:val="Heading2"/>
      </w:pPr>
      <w:bookmarkStart w:id="8" w:name="_Toc377727080"/>
      <w:r>
        <w:lastRenderedPageBreak/>
        <w:t>Household Size</w:t>
      </w:r>
      <w:bookmarkEnd w:id="8"/>
    </w:p>
    <w:p w:rsidR="00E267C3" w:rsidRDefault="00E267C3" w:rsidP="00E267C3">
      <w:pPr>
        <w:pStyle w:val="NoSpacing"/>
        <w:jc w:val="center"/>
      </w:pPr>
    </w:p>
    <w:p w:rsidR="00E267C3" w:rsidRDefault="00E267C3" w:rsidP="00E267C3">
      <w:pPr>
        <w:pStyle w:val="NoSpacing"/>
        <w:jc w:val="center"/>
      </w:pPr>
      <w:r>
        <w:t>Patients were asked: “</w:t>
      </w:r>
      <w:r w:rsidRPr="00E267C3">
        <w:rPr>
          <w:i/>
        </w:rPr>
        <w:t>How many people, including you, live in your household?</w:t>
      </w:r>
      <w:r>
        <w:t>”</w:t>
      </w:r>
    </w:p>
    <w:p w:rsidR="00E267C3" w:rsidRDefault="00E267C3" w:rsidP="00DC195A">
      <w:pPr>
        <w:pStyle w:val="NoSpacing"/>
      </w:pPr>
    </w:p>
    <w:p w:rsidR="00E267C3" w:rsidRDefault="00806198" w:rsidP="00806198">
      <w:pPr>
        <w:pStyle w:val="NoSpacing"/>
        <w:jc w:val="right"/>
      </w:pPr>
      <w:r>
        <w:rPr>
          <w:noProof/>
        </w:rPr>
        <w:drawing>
          <wp:inline distT="0" distB="0" distL="0" distR="0">
            <wp:extent cx="7772400" cy="383857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267C3" w:rsidRDefault="00E267C3" w:rsidP="00E267C3">
      <w:pPr>
        <w:pStyle w:val="NoSpacing"/>
      </w:pPr>
    </w:p>
    <w:p w:rsidR="008944C9" w:rsidRDefault="008944C9" w:rsidP="008944C9">
      <w:r>
        <w:t xml:space="preserve">There is variation in the average household size by dental clinic. In general, respondents who completed surveys at the clinics that provide services </w:t>
      </w:r>
      <w:r w:rsidR="009520AA">
        <w:t>often</w:t>
      </w:r>
      <w:r>
        <w:t xml:space="preserve"> related to children (</w:t>
      </w:r>
      <w:r w:rsidR="00E62E0F">
        <w:t xml:space="preserve">i.e. </w:t>
      </w:r>
      <w:r>
        <w:t>Pediatrics, Orthodontics) ha</w:t>
      </w:r>
      <w:r w:rsidR="00C136B4">
        <w:t>d</w:t>
      </w:r>
      <w:r>
        <w:t xml:space="preserve"> higher average household sizes than respondents who completed surveys at other clinics.</w:t>
      </w:r>
    </w:p>
    <w:p w:rsidR="00E267C3" w:rsidRDefault="00E267C3" w:rsidP="00E267C3">
      <w:pPr>
        <w:pStyle w:val="NoSpacing"/>
      </w:pPr>
    </w:p>
    <w:p w:rsidR="00E267C3" w:rsidRDefault="00E267C3">
      <w:pPr>
        <w:spacing w:after="200" w:line="276" w:lineRule="auto"/>
        <w:rPr>
          <w:rFonts w:asciiTheme="majorHAnsi" w:eastAsiaTheme="majorEastAsia" w:hAnsiTheme="majorHAnsi" w:cstheme="majorBidi"/>
          <w:b/>
          <w:bCs/>
          <w:color w:val="4F81BD" w:themeColor="accent1"/>
          <w:sz w:val="26"/>
          <w:szCs w:val="26"/>
        </w:rPr>
      </w:pPr>
      <w:r>
        <w:br w:type="page"/>
      </w:r>
    </w:p>
    <w:p w:rsidR="00AB4906" w:rsidRDefault="00AB4906" w:rsidP="00AB4906">
      <w:pPr>
        <w:pStyle w:val="Heading2"/>
      </w:pPr>
      <w:bookmarkStart w:id="9" w:name="_Toc377727081"/>
      <w:r>
        <w:lastRenderedPageBreak/>
        <w:t>Patients in Household</w:t>
      </w:r>
      <w:bookmarkEnd w:id="9"/>
      <w:r>
        <w:t xml:space="preserve"> </w:t>
      </w:r>
    </w:p>
    <w:p w:rsidR="00AB4906" w:rsidRDefault="00AB4906" w:rsidP="00AB4906">
      <w:pPr>
        <w:pStyle w:val="NoSpacing"/>
        <w:jc w:val="center"/>
      </w:pPr>
    </w:p>
    <w:p w:rsidR="00AB4906" w:rsidRDefault="00AB4906" w:rsidP="00AB4906">
      <w:pPr>
        <w:pStyle w:val="NoSpacing"/>
        <w:jc w:val="center"/>
      </w:pPr>
      <w:r>
        <w:t>Patients were asked: “</w:t>
      </w:r>
      <w:r w:rsidRPr="00E267C3">
        <w:rPr>
          <w:i/>
        </w:rPr>
        <w:t>How many in your household</w:t>
      </w:r>
      <w:r>
        <w:rPr>
          <w:i/>
        </w:rPr>
        <w:t xml:space="preserve"> come to UF for dental care</w:t>
      </w:r>
      <w:r w:rsidRPr="00E267C3">
        <w:rPr>
          <w:i/>
        </w:rPr>
        <w:t>?</w:t>
      </w:r>
      <w:r>
        <w:t>”</w:t>
      </w:r>
    </w:p>
    <w:p w:rsidR="00AB4906" w:rsidRDefault="00AB4906" w:rsidP="00AB4906">
      <w:pPr>
        <w:pStyle w:val="NoSpacing"/>
      </w:pPr>
    </w:p>
    <w:p w:rsidR="00AB4906" w:rsidRDefault="00AB4906" w:rsidP="00AB4906">
      <w:pPr>
        <w:pStyle w:val="NoSpacing"/>
        <w:jc w:val="right"/>
      </w:pPr>
      <w:r>
        <w:rPr>
          <w:noProof/>
        </w:rPr>
        <w:drawing>
          <wp:inline distT="0" distB="0" distL="0" distR="0">
            <wp:extent cx="7772400" cy="3838575"/>
            <wp:effectExtent l="0" t="0" r="19050" b="9525"/>
            <wp:docPr id="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B4906" w:rsidRDefault="00AB4906" w:rsidP="00AB4906">
      <w:pPr>
        <w:pStyle w:val="NoSpacing"/>
      </w:pPr>
    </w:p>
    <w:p w:rsidR="00AB4906" w:rsidRDefault="00AB4906" w:rsidP="00AB4906">
      <w:r>
        <w:t>There is little variation in the average number of patients per household by dental clinic. In general, respondents who completed surveys ha</w:t>
      </w:r>
      <w:r w:rsidR="00C136B4">
        <w:t>d</w:t>
      </w:r>
      <w:r>
        <w:t xml:space="preserve"> between one and two patients per household.</w:t>
      </w:r>
      <w:r w:rsidR="00C136B4">
        <w:t xml:space="preserve">  The highest average, again, was for Pediatrics (2.56).</w:t>
      </w:r>
    </w:p>
    <w:p w:rsidR="00AB4906" w:rsidRDefault="00AB4906">
      <w:pPr>
        <w:spacing w:after="200" w:line="276" w:lineRule="auto"/>
        <w:rPr>
          <w:rFonts w:asciiTheme="majorHAnsi" w:eastAsiaTheme="majorEastAsia" w:hAnsiTheme="majorHAnsi" w:cstheme="majorBidi"/>
          <w:b/>
          <w:bCs/>
          <w:color w:val="4F81BD" w:themeColor="accent1"/>
          <w:sz w:val="26"/>
          <w:szCs w:val="26"/>
        </w:rPr>
      </w:pPr>
      <w:r>
        <w:br w:type="page"/>
      </w:r>
    </w:p>
    <w:p w:rsidR="00DC195A" w:rsidRDefault="00DC195A" w:rsidP="00DC195A">
      <w:pPr>
        <w:pStyle w:val="Heading2"/>
      </w:pPr>
      <w:bookmarkStart w:id="10" w:name="_Toc377727082"/>
      <w:r>
        <w:lastRenderedPageBreak/>
        <w:t>Income</w:t>
      </w:r>
      <w:bookmarkEnd w:id="10"/>
    </w:p>
    <w:p w:rsidR="00E267C3" w:rsidRPr="00E267C3" w:rsidRDefault="00E267C3" w:rsidP="00E267C3"/>
    <w:p w:rsidR="00E267C3" w:rsidRPr="00E267C3" w:rsidRDefault="00E267C3" w:rsidP="00E267C3">
      <w:pPr>
        <w:jc w:val="center"/>
      </w:pPr>
      <w:r>
        <w:t>Patients were asked: “</w:t>
      </w:r>
      <w:r w:rsidRPr="00E267C3">
        <w:rPr>
          <w:i/>
        </w:rPr>
        <w:t>Please indicate you total annual household income from any source.</w:t>
      </w:r>
      <w:r>
        <w:t>”</w:t>
      </w:r>
    </w:p>
    <w:p w:rsidR="00DC195A" w:rsidRDefault="00DC195A" w:rsidP="00DC195A">
      <w:pPr>
        <w:pStyle w:val="NoSpacing"/>
      </w:pPr>
    </w:p>
    <w:p w:rsidR="00DC195A" w:rsidRDefault="004A5B1C" w:rsidP="00DC195A">
      <w:pPr>
        <w:pStyle w:val="NoSpacing"/>
        <w:jc w:val="center"/>
      </w:pPr>
      <w:r w:rsidRPr="004A5B1C">
        <w:rPr>
          <w:noProof/>
        </w:rPr>
        <w:drawing>
          <wp:inline distT="0" distB="0" distL="0" distR="0">
            <wp:extent cx="8324850" cy="4162425"/>
            <wp:effectExtent l="19050" t="0" r="19050" b="0"/>
            <wp:docPr id="22"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86B2E" w:rsidRDefault="00886B2E">
      <w:pPr>
        <w:spacing w:after="200" w:line="276" w:lineRule="auto"/>
      </w:pPr>
    </w:p>
    <w:p w:rsidR="008944C9" w:rsidRDefault="008944C9" w:rsidP="008944C9">
      <w:r>
        <w:t xml:space="preserve">There is substantial variation in the percentage of patients who </w:t>
      </w:r>
      <w:r w:rsidR="009520AA">
        <w:t>completed surveys</w:t>
      </w:r>
      <w:r>
        <w:t xml:space="preserve"> </w:t>
      </w:r>
      <w:r w:rsidR="00080E23">
        <w:t xml:space="preserve">in </w:t>
      </w:r>
      <w:r>
        <w:t xml:space="preserve">the various dental clinics by income.  </w:t>
      </w:r>
    </w:p>
    <w:p w:rsidR="00E267C3" w:rsidRPr="00E267C3" w:rsidRDefault="00E267C3" w:rsidP="00E267C3">
      <w:pPr>
        <w:pStyle w:val="NoSpacing"/>
      </w:pPr>
    </w:p>
    <w:p w:rsidR="00FD6E36" w:rsidRDefault="00FD6E36">
      <w:pPr>
        <w:spacing w:after="200" w:line="276" w:lineRule="auto"/>
        <w:rPr>
          <w:rFonts w:asciiTheme="majorHAnsi" w:eastAsiaTheme="majorEastAsia" w:hAnsiTheme="majorHAnsi" w:cstheme="majorBidi"/>
          <w:b/>
          <w:bCs/>
          <w:color w:val="365F91" w:themeColor="accent1" w:themeShade="BF"/>
          <w:sz w:val="28"/>
          <w:szCs w:val="28"/>
        </w:rPr>
      </w:pPr>
      <w:r>
        <w:br w:type="page"/>
      </w:r>
    </w:p>
    <w:p w:rsidR="00DC195A" w:rsidRDefault="00DC195A" w:rsidP="00886B2E">
      <w:pPr>
        <w:pStyle w:val="Heading1"/>
      </w:pPr>
      <w:bookmarkStart w:id="11" w:name="_Toc377727083"/>
      <w:r>
        <w:lastRenderedPageBreak/>
        <w:t>Marketing</w:t>
      </w:r>
      <w:bookmarkEnd w:id="11"/>
    </w:p>
    <w:p w:rsidR="00886B2E" w:rsidRDefault="00886B2E" w:rsidP="00886B2E">
      <w:pPr>
        <w:pStyle w:val="Heading2"/>
      </w:pPr>
      <w:bookmarkStart w:id="12" w:name="_Toc377727084"/>
      <w:r>
        <w:t>How Patients Learned about Services</w:t>
      </w:r>
      <w:bookmarkEnd w:id="12"/>
    </w:p>
    <w:p w:rsidR="0048725B" w:rsidRDefault="0048725B" w:rsidP="0048725B"/>
    <w:p w:rsidR="00165C1B" w:rsidRDefault="0048725B" w:rsidP="00165C1B">
      <w:pPr>
        <w:pStyle w:val="NoSpacing"/>
        <w:jc w:val="center"/>
      </w:pPr>
      <w:r>
        <w:t>Patients were asked: “</w:t>
      </w:r>
      <w:r w:rsidRPr="00165C1B">
        <w:rPr>
          <w:i/>
        </w:rPr>
        <w:t>How did you learn about the dental services we provide?</w:t>
      </w:r>
      <w:r>
        <w:t xml:space="preserve">”  </w:t>
      </w:r>
    </w:p>
    <w:p w:rsidR="0048725B" w:rsidRPr="0048725B" w:rsidRDefault="00165C1B" w:rsidP="00165C1B">
      <w:pPr>
        <w:pStyle w:val="NoSpacing"/>
        <w:jc w:val="center"/>
      </w:pPr>
      <w:r>
        <w:t>(</w:t>
      </w:r>
      <w:r w:rsidR="0048725B">
        <w:t xml:space="preserve">They </w:t>
      </w:r>
      <w:r w:rsidR="00D519F5">
        <w:t xml:space="preserve">could </w:t>
      </w:r>
      <w:r w:rsidR="0048725B">
        <w:t xml:space="preserve">choose </w:t>
      </w:r>
      <w:r w:rsidR="00D519F5">
        <w:t>multiple</w:t>
      </w:r>
      <w:r w:rsidR="0048725B">
        <w:t xml:space="preserve"> response</w:t>
      </w:r>
      <w:r w:rsidR="00D519F5">
        <w:t>s</w:t>
      </w:r>
      <w:r w:rsidR="0048725B">
        <w:t>.</w:t>
      </w:r>
      <w:r>
        <w:t>)</w:t>
      </w:r>
    </w:p>
    <w:p w:rsidR="00886B2E" w:rsidRDefault="00886B2E" w:rsidP="00886B2E"/>
    <w:p w:rsidR="0012386A" w:rsidRDefault="0012386A" w:rsidP="0012386A">
      <w:pPr>
        <w:pStyle w:val="NoSpacing"/>
      </w:pPr>
    </w:p>
    <w:p w:rsidR="002A1C06" w:rsidRDefault="002A1C06" w:rsidP="002A1C06">
      <w:pPr>
        <w:pStyle w:val="NoSpacing"/>
        <w:jc w:val="center"/>
      </w:pPr>
      <w:r w:rsidRPr="002A1C06">
        <w:rPr>
          <w:noProof/>
        </w:rPr>
        <w:drawing>
          <wp:inline distT="0" distB="0" distL="0" distR="0">
            <wp:extent cx="8524875" cy="3914775"/>
            <wp:effectExtent l="19050" t="0" r="9525"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E64A1" w:rsidRDefault="004E64A1" w:rsidP="002A1C06">
      <w:pPr>
        <w:pStyle w:val="NoSpacing"/>
        <w:jc w:val="center"/>
      </w:pPr>
    </w:p>
    <w:p w:rsidR="004E64A1" w:rsidRDefault="004E64A1" w:rsidP="002A1C06">
      <w:pPr>
        <w:pStyle w:val="NoSpacing"/>
        <w:jc w:val="center"/>
      </w:pPr>
    </w:p>
    <w:p w:rsidR="002A1C06" w:rsidRDefault="002A1C06" w:rsidP="0012386A">
      <w:pPr>
        <w:pStyle w:val="NoSpacing"/>
      </w:pPr>
    </w:p>
    <w:p w:rsidR="0085172E" w:rsidRPr="0085172E" w:rsidRDefault="0085172E" w:rsidP="0085172E">
      <w:pPr>
        <w:pStyle w:val="NoSpacing"/>
        <w:jc w:val="center"/>
        <w:rPr>
          <w:sz w:val="24"/>
          <w:szCs w:val="24"/>
        </w:rPr>
      </w:pPr>
      <w:r w:rsidRPr="0085172E">
        <w:rPr>
          <w:sz w:val="24"/>
          <w:szCs w:val="24"/>
        </w:rPr>
        <w:lastRenderedPageBreak/>
        <w:t>How Patients Learned about Services</w:t>
      </w:r>
    </w:p>
    <w:p w:rsidR="0085172E" w:rsidRPr="0012386A" w:rsidRDefault="0085172E" w:rsidP="0012386A">
      <w:pPr>
        <w:pStyle w:val="NoSpacing"/>
      </w:pPr>
    </w:p>
    <w:tbl>
      <w:tblPr>
        <w:tblStyle w:val="TableGrid"/>
        <w:tblW w:w="13788" w:type="dxa"/>
        <w:tblLayout w:type="fixed"/>
        <w:tblLook w:val="04A0" w:firstRow="1" w:lastRow="0" w:firstColumn="1" w:lastColumn="0" w:noHBand="0" w:noVBand="1"/>
      </w:tblPr>
      <w:tblGrid>
        <w:gridCol w:w="3348"/>
        <w:gridCol w:w="949"/>
        <w:gridCol w:w="949"/>
        <w:gridCol w:w="949"/>
        <w:gridCol w:w="949"/>
        <w:gridCol w:w="949"/>
        <w:gridCol w:w="949"/>
        <w:gridCol w:w="949"/>
        <w:gridCol w:w="949"/>
        <w:gridCol w:w="949"/>
        <w:gridCol w:w="949"/>
        <w:gridCol w:w="950"/>
      </w:tblGrid>
      <w:tr w:rsidR="00974B16" w:rsidRPr="0012386A" w:rsidTr="002B0AC0">
        <w:tc>
          <w:tcPr>
            <w:tcW w:w="3348" w:type="dxa"/>
            <w:shd w:val="clear" w:color="auto" w:fill="C6D9F1" w:themeFill="text2" w:themeFillTint="33"/>
          </w:tcPr>
          <w:p w:rsidR="00974B16" w:rsidRPr="0012386A" w:rsidRDefault="00974B16" w:rsidP="0048725B">
            <w:pPr>
              <w:pStyle w:val="NoSpacing"/>
              <w:jc w:val="center"/>
              <w:rPr>
                <w:b/>
              </w:rPr>
            </w:pPr>
          </w:p>
        </w:tc>
        <w:tc>
          <w:tcPr>
            <w:tcW w:w="949" w:type="dxa"/>
            <w:tcBorders>
              <w:bottom w:val="single" w:sz="4" w:space="0" w:color="000000" w:themeColor="text1"/>
            </w:tcBorders>
            <w:shd w:val="clear" w:color="auto" w:fill="C6D9F1" w:themeFill="text2" w:themeFillTint="33"/>
            <w:vAlign w:val="center"/>
          </w:tcPr>
          <w:p w:rsidR="00974B16" w:rsidRDefault="00974B16" w:rsidP="0049564F">
            <w:pPr>
              <w:pStyle w:val="NoSpacing"/>
              <w:jc w:val="center"/>
              <w:rPr>
                <w:b/>
              </w:rPr>
            </w:pPr>
            <w:r>
              <w:rPr>
                <w:b/>
              </w:rPr>
              <w:t>Student</w:t>
            </w:r>
          </w:p>
          <w:p w:rsidR="00974B16" w:rsidRPr="006C3F26" w:rsidRDefault="00974B16" w:rsidP="0049564F">
            <w:pPr>
              <w:pStyle w:val="NoSpacing"/>
              <w:jc w:val="center"/>
              <w:rPr>
                <w:b/>
              </w:rPr>
            </w:pPr>
            <w:r>
              <w:rPr>
                <w:b/>
              </w:rPr>
              <w:t>Clinics</w:t>
            </w:r>
          </w:p>
        </w:tc>
        <w:tc>
          <w:tcPr>
            <w:tcW w:w="949" w:type="dxa"/>
            <w:tcBorders>
              <w:bottom w:val="single" w:sz="4" w:space="0" w:color="000000" w:themeColor="text1"/>
            </w:tcBorders>
            <w:shd w:val="clear" w:color="auto" w:fill="C6D9F1" w:themeFill="text2" w:themeFillTint="33"/>
            <w:vAlign w:val="center"/>
          </w:tcPr>
          <w:p w:rsidR="00974B16" w:rsidRPr="006C3F26" w:rsidRDefault="00974B16" w:rsidP="0049564F">
            <w:pPr>
              <w:pStyle w:val="NoSpacing"/>
              <w:jc w:val="center"/>
              <w:rPr>
                <w:b/>
              </w:rPr>
            </w:pPr>
            <w:r>
              <w:rPr>
                <w:b/>
              </w:rPr>
              <w:t>FP</w:t>
            </w:r>
          </w:p>
        </w:tc>
        <w:tc>
          <w:tcPr>
            <w:tcW w:w="949" w:type="dxa"/>
            <w:tcBorders>
              <w:bottom w:val="single" w:sz="4" w:space="0" w:color="000000" w:themeColor="text1"/>
            </w:tcBorders>
            <w:shd w:val="clear" w:color="auto" w:fill="C6D9F1" w:themeFill="text2" w:themeFillTint="33"/>
            <w:vAlign w:val="center"/>
          </w:tcPr>
          <w:p w:rsidR="00974B16" w:rsidRPr="006C3F26" w:rsidRDefault="00974B16" w:rsidP="0049564F">
            <w:pPr>
              <w:pStyle w:val="NoSpacing"/>
              <w:jc w:val="center"/>
              <w:rPr>
                <w:b/>
              </w:rPr>
            </w:pPr>
            <w:r>
              <w:rPr>
                <w:b/>
              </w:rPr>
              <w:t>GE</w:t>
            </w:r>
          </w:p>
        </w:tc>
        <w:tc>
          <w:tcPr>
            <w:tcW w:w="949" w:type="dxa"/>
            <w:tcBorders>
              <w:bottom w:val="single" w:sz="4" w:space="0" w:color="000000" w:themeColor="text1"/>
            </w:tcBorders>
            <w:shd w:val="clear" w:color="auto" w:fill="C6D9F1" w:themeFill="text2" w:themeFillTint="33"/>
            <w:vAlign w:val="center"/>
          </w:tcPr>
          <w:p w:rsidR="00974B16" w:rsidRPr="006C3F26" w:rsidRDefault="00974B16" w:rsidP="0049564F">
            <w:pPr>
              <w:pStyle w:val="NoSpacing"/>
              <w:jc w:val="center"/>
              <w:rPr>
                <w:b/>
              </w:rPr>
            </w:pPr>
            <w:r>
              <w:rPr>
                <w:b/>
              </w:rPr>
              <w:t>GPE</w:t>
            </w:r>
          </w:p>
        </w:tc>
        <w:tc>
          <w:tcPr>
            <w:tcW w:w="949" w:type="dxa"/>
            <w:tcBorders>
              <w:bottom w:val="single" w:sz="4" w:space="0" w:color="000000" w:themeColor="text1"/>
            </w:tcBorders>
            <w:shd w:val="clear" w:color="auto" w:fill="C6D9F1" w:themeFill="text2" w:themeFillTint="33"/>
            <w:vAlign w:val="center"/>
          </w:tcPr>
          <w:p w:rsidR="00974B16" w:rsidRDefault="00974B16" w:rsidP="0049564F">
            <w:pPr>
              <w:pStyle w:val="NoSpacing"/>
              <w:jc w:val="center"/>
              <w:rPr>
                <w:b/>
              </w:rPr>
            </w:pPr>
            <w:r>
              <w:rPr>
                <w:b/>
              </w:rPr>
              <w:t>GPR</w:t>
            </w:r>
          </w:p>
        </w:tc>
        <w:tc>
          <w:tcPr>
            <w:tcW w:w="949" w:type="dxa"/>
            <w:tcBorders>
              <w:bottom w:val="single" w:sz="4" w:space="0" w:color="000000" w:themeColor="text1"/>
            </w:tcBorders>
            <w:shd w:val="clear" w:color="auto" w:fill="C6D9F1" w:themeFill="text2" w:themeFillTint="33"/>
            <w:vAlign w:val="center"/>
          </w:tcPr>
          <w:p w:rsidR="00974B16" w:rsidRDefault="00974B16" w:rsidP="00974B16">
            <w:pPr>
              <w:pStyle w:val="NoSpacing"/>
              <w:jc w:val="center"/>
              <w:rPr>
                <w:b/>
              </w:rPr>
            </w:pPr>
            <w:r>
              <w:rPr>
                <w:b/>
              </w:rPr>
              <w:t>Hialeah</w:t>
            </w:r>
          </w:p>
        </w:tc>
        <w:tc>
          <w:tcPr>
            <w:tcW w:w="949" w:type="dxa"/>
            <w:tcBorders>
              <w:bottom w:val="single" w:sz="4" w:space="0" w:color="000000" w:themeColor="text1"/>
            </w:tcBorders>
            <w:shd w:val="clear" w:color="auto" w:fill="C6D9F1" w:themeFill="text2" w:themeFillTint="33"/>
            <w:vAlign w:val="center"/>
          </w:tcPr>
          <w:p w:rsidR="00974B16" w:rsidRPr="006C3F26" w:rsidRDefault="00974B16" w:rsidP="0049564F">
            <w:pPr>
              <w:pStyle w:val="NoSpacing"/>
              <w:jc w:val="center"/>
              <w:rPr>
                <w:b/>
              </w:rPr>
            </w:pPr>
            <w:r>
              <w:rPr>
                <w:b/>
              </w:rPr>
              <w:t>OM</w:t>
            </w:r>
          </w:p>
        </w:tc>
        <w:tc>
          <w:tcPr>
            <w:tcW w:w="949" w:type="dxa"/>
            <w:tcBorders>
              <w:bottom w:val="single" w:sz="4" w:space="0" w:color="000000" w:themeColor="text1"/>
            </w:tcBorders>
            <w:shd w:val="clear" w:color="auto" w:fill="C6D9F1" w:themeFill="text2" w:themeFillTint="33"/>
            <w:vAlign w:val="center"/>
          </w:tcPr>
          <w:p w:rsidR="00974B16" w:rsidRPr="006C3F26" w:rsidRDefault="00974B16" w:rsidP="0049564F">
            <w:pPr>
              <w:pStyle w:val="NoSpacing"/>
              <w:jc w:val="center"/>
              <w:rPr>
                <w:b/>
              </w:rPr>
            </w:pPr>
            <w:r>
              <w:rPr>
                <w:b/>
              </w:rPr>
              <w:t>OR</w:t>
            </w:r>
          </w:p>
        </w:tc>
        <w:tc>
          <w:tcPr>
            <w:tcW w:w="949" w:type="dxa"/>
            <w:tcBorders>
              <w:bottom w:val="single" w:sz="4" w:space="0" w:color="000000" w:themeColor="text1"/>
            </w:tcBorders>
            <w:shd w:val="clear" w:color="auto" w:fill="C6D9F1" w:themeFill="text2" w:themeFillTint="33"/>
            <w:vAlign w:val="center"/>
          </w:tcPr>
          <w:p w:rsidR="00974B16" w:rsidRDefault="00974B16" w:rsidP="0049564F">
            <w:pPr>
              <w:pStyle w:val="NoSpacing"/>
              <w:jc w:val="center"/>
              <w:rPr>
                <w:b/>
              </w:rPr>
            </w:pPr>
            <w:r>
              <w:rPr>
                <w:b/>
              </w:rPr>
              <w:t>OS</w:t>
            </w:r>
          </w:p>
        </w:tc>
        <w:tc>
          <w:tcPr>
            <w:tcW w:w="949" w:type="dxa"/>
            <w:tcBorders>
              <w:bottom w:val="single" w:sz="4" w:space="0" w:color="000000" w:themeColor="text1"/>
            </w:tcBorders>
            <w:shd w:val="clear" w:color="auto" w:fill="C6D9F1" w:themeFill="text2" w:themeFillTint="33"/>
            <w:vAlign w:val="center"/>
          </w:tcPr>
          <w:p w:rsidR="00974B16" w:rsidRDefault="00974B16" w:rsidP="0049564F">
            <w:pPr>
              <w:pStyle w:val="NoSpacing"/>
              <w:jc w:val="center"/>
              <w:rPr>
                <w:b/>
              </w:rPr>
            </w:pPr>
            <w:r>
              <w:rPr>
                <w:b/>
              </w:rPr>
              <w:t>PD</w:t>
            </w:r>
          </w:p>
        </w:tc>
        <w:tc>
          <w:tcPr>
            <w:tcW w:w="950" w:type="dxa"/>
            <w:tcBorders>
              <w:bottom w:val="single" w:sz="4" w:space="0" w:color="000000" w:themeColor="text1"/>
            </w:tcBorders>
            <w:shd w:val="clear" w:color="auto" w:fill="C6D9F1" w:themeFill="text2" w:themeFillTint="33"/>
            <w:vAlign w:val="center"/>
          </w:tcPr>
          <w:p w:rsidR="00974B16" w:rsidRPr="0012386A" w:rsidRDefault="00974B16" w:rsidP="00C57F4C">
            <w:pPr>
              <w:pStyle w:val="NoSpacing"/>
              <w:jc w:val="center"/>
              <w:rPr>
                <w:b/>
              </w:rPr>
            </w:pPr>
            <w:r>
              <w:rPr>
                <w:b/>
              </w:rPr>
              <w:t>SP</w:t>
            </w:r>
          </w:p>
        </w:tc>
      </w:tr>
      <w:tr w:rsidR="00974B16" w:rsidTr="002B0AC0">
        <w:tc>
          <w:tcPr>
            <w:tcW w:w="3348" w:type="dxa"/>
          </w:tcPr>
          <w:p w:rsidR="00974B16" w:rsidRDefault="00974B16" w:rsidP="0012386A">
            <w:pPr>
              <w:pStyle w:val="NoSpacing"/>
            </w:pPr>
            <w:r>
              <w:t>Referred by friend or relative</w:t>
            </w:r>
          </w:p>
        </w:tc>
        <w:tc>
          <w:tcPr>
            <w:tcW w:w="949" w:type="dxa"/>
            <w:shd w:val="clear" w:color="auto" w:fill="FDE9D9" w:themeFill="accent6" w:themeFillTint="33"/>
            <w:vAlign w:val="center"/>
          </w:tcPr>
          <w:p w:rsidR="00974B16" w:rsidRPr="0071165C" w:rsidRDefault="006F2386" w:rsidP="006F2386">
            <w:pPr>
              <w:pStyle w:val="NoSpacing"/>
              <w:jc w:val="center"/>
            </w:pPr>
            <w:r>
              <w:t>59.0</w:t>
            </w:r>
            <w:r w:rsidR="002B0AC0">
              <w:t>%</w:t>
            </w:r>
          </w:p>
        </w:tc>
        <w:tc>
          <w:tcPr>
            <w:tcW w:w="949" w:type="dxa"/>
            <w:shd w:val="clear" w:color="auto" w:fill="FDE9D9" w:themeFill="accent6" w:themeFillTint="33"/>
            <w:vAlign w:val="center"/>
          </w:tcPr>
          <w:p w:rsidR="00974B16" w:rsidRPr="0071165C" w:rsidRDefault="006F2386" w:rsidP="006F2386">
            <w:pPr>
              <w:pStyle w:val="NoSpacing"/>
              <w:jc w:val="center"/>
            </w:pPr>
            <w:r>
              <w:t>30.4</w:t>
            </w:r>
            <w:r w:rsidR="002B0AC0">
              <w:t>%</w:t>
            </w:r>
          </w:p>
        </w:tc>
        <w:tc>
          <w:tcPr>
            <w:tcW w:w="949" w:type="dxa"/>
            <w:shd w:val="clear" w:color="auto" w:fill="FDE9D9" w:themeFill="accent6" w:themeFillTint="33"/>
            <w:vAlign w:val="center"/>
          </w:tcPr>
          <w:p w:rsidR="00974B16" w:rsidRPr="0071165C" w:rsidRDefault="006F2386" w:rsidP="006F2386">
            <w:pPr>
              <w:pStyle w:val="NoSpacing"/>
              <w:jc w:val="center"/>
            </w:pPr>
            <w:r>
              <w:t>37.7</w:t>
            </w:r>
            <w:r w:rsidR="002B0AC0">
              <w:t>%</w:t>
            </w:r>
          </w:p>
        </w:tc>
        <w:tc>
          <w:tcPr>
            <w:tcW w:w="949" w:type="dxa"/>
            <w:shd w:val="clear" w:color="auto" w:fill="FDE9D9" w:themeFill="accent6" w:themeFillTint="33"/>
            <w:vAlign w:val="center"/>
          </w:tcPr>
          <w:p w:rsidR="00974B16" w:rsidRPr="0071165C" w:rsidRDefault="006F2386" w:rsidP="006F2386">
            <w:pPr>
              <w:pStyle w:val="NoSpacing"/>
              <w:jc w:val="center"/>
            </w:pPr>
            <w:r>
              <w:t>51.7</w:t>
            </w:r>
            <w:r w:rsidR="002B0AC0">
              <w:t>%</w:t>
            </w:r>
          </w:p>
        </w:tc>
        <w:tc>
          <w:tcPr>
            <w:tcW w:w="949" w:type="dxa"/>
            <w:shd w:val="clear" w:color="auto" w:fill="FDE9D9" w:themeFill="accent6" w:themeFillTint="33"/>
            <w:vAlign w:val="center"/>
          </w:tcPr>
          <w:p w:rsidR="00974B16" w:rsidRPr="0071165C" w:rsidRDefault="006F2386" w:rsidP="006F2386">
            <w:pPr>
              <w:pStyle w:val="NoSpacing"/>
              <w:jc w:val="center"/>
            </w:pPr>
            <w:r>
              <w:t>44.7</w:t>
            </w:r>
            <w:r w:rsidR="002B0AC0">
              <w:t>%</w:t>
            </w:r>
          </w:p>
        </w:tc>
        <w:tc>
          <w:tcPr>
            <w:tcW w:w="949" w:type="dxa"/>
            <w:shd w:val="clear" w:color="auto" w:fill="FDE9D9" w:themeFill="accent6" w:themeFillTint="33"/>
            <w:vAlign w:val="center"/>
          </w:tcPr>
          <w:p w:rsidR="00974B16" w:rsidRDefault="006F2386" w:rsidP="006F2386">
            <w:pPr>
              <w:pStyle w:val="NoSpacing"/>
              <w:jc w:val="center"/>
            </w:pPr>
            <w:r>
              <w:t>44.7</w:t>
            </w:r>
            <w:r w:rsidR="002B0AC0">
              <w:t>%</w:t>
            </w:r>
          </w:p>
        </w:tc>
        <w:tc>
          <w:tcPr>
            <w:tcW w:w="949" w:type="dxa"/>
            <w:tcBorders>
              <w:bottom w:val="single" w:sz="4" w:space="0" w:color="000000" w:themeColor="text1"/>
            </w:tcBorders>
            <w:shd w:val="clear" w:color="auto" w:fill="auto"/>
            <w:vAlign w:val="center"/>
          </w:tcPr>
          <w:p w:rsidR="00974B16" w:rsidRPr="0071165C" w:rsidRDefault="006F2386" w:rsidP="006F2386">
            <w:pPr>
              <w:pStyle w:val="NoSpacing"/>
              <w:jc w:val="center"/>
            </w:pPr>
            <w:r>
              <w:t>0.0</w:t>
            </w:r>
            <w:r w:rsidR="002B0AC0">
              <w:t>%</w:t>
            </w:r>
          </w:p>
        </w:tc>
        <w:tc>
          <w:tcPr>
            <w:tcW w:w="949" w:type="dxa"/>
            <w:shd w:val="clear" w:color="auto" w:fill="auto"/>
            <w:vAlign w:val="center"/>
          </w:tcPr>
          <w:p w:rsidR="00974B16" w:rsidRPr="0071165C" w:rsidRDefault="006F2386" w:rsidP="006F2386">
            <w:pPr>
              <w:pStyle w:val="NoSpacing"/>
              <w:jc w:val="center"/>
            </w:pPr>
            <w:r>
              <w:t>20.0</w:t>
            </w:r>
            <w:r w:rsidR="002B0AC0">
              <w:t>%</w:t>
            </w:r>
          </w:p>
        </w:tc>
        <w:tc>
          <w:tcPr>
            <w:tcW w:w="949" w:type="dxa"/>
            <w:shd w:val="clear" w:color="auto" w:fill="FDE9D9" w:themeFill="accent6" w:themeFillTint="33"/>
            <w:vAlign w:val="center"/>
          </w:tcPr>
          <w:p w:rsidR="00974B16" w:rsidRPr="0071165C" w:rsidRDefault="006F2386" w:rsidP="006F2386">
            <w:pPr>
              <w:pStyle w:val="NoSpacing"/>
              <w:jc w:val="center"/>
            </w:pPr>
            <w:r>
              <w:t>37.3</w:t>
            </w:r>
            <w:r w:rsidR="002B0AC0">
              <w:t>%</w:t>
            </w:r>
          </w:p>
        </w:tc>
        <w:tc>
          <w:tcPr>
            <w:tcW w:w="949" w:type="dxa"/>
            <w:shd w:val="clear" w:color="auto" w:fill="FDE9D9" w:themeFill="accent6" w:themeFillTint="33"/>
            <w:vAlign w:val="center"/>
          </w:tcPr>
          <w:p w:rsidR="00974B16" w:rsidRPr="0071165C" w:rsidRDefault="002B0AC0" w:rsidP="006F2386">
            <w:pPr>
              <w:pStyle w:val="NoSpacing"/>
              <w:jc w:val="center"/>
            </w:pPr>
            <w:r>
              <w:t>40.0%</w:t>
            </w:r>
          </w:p>
        </w:tc>
        <w:tc>
          <w:tcPr>
            <w:tcW w:w="950" w:type="dxa"/>
            <w:shd w:val="clear" w:color="auto" w:fill="FDE9D9" w:themeFill="accent6" w:themeFillTint="33"/>
            <w:vAlign w:val="center"/>
          </w:tcPr>
          <w:p w:rsidR="00974B16" w:rsidRPr="0071165C" w:rsidRDefault="002B0AC0" w:rsidP="006F2386">
            <w:pPr>
              <w:pStyle w:val="NoSpacing"/>
              <w:jc w:val="center"/>
            </w:pPr>
            <w:r>
              <w:t>51.0%</w:t>
            </w:r>
          </w:p>
        </w:tc>
      </w:tr>
      <w:tr w:rsidR="00974B16" w:rsidTr="002B0AC0">
        <w:tc>
          <w:tcPr>
            <w:tcW w:w="3348" w:type="dxa"/>
          </w:tcPr>
          <w:p w:rsidR="00974B16" w:rsidRDefault="00974B16" w:rsidP="0012386A">
            <w:pPr>
              <w:pStyle w:val="NoSpacing"/>
            </w:pPr>
            <w:r>
              <w:t>Referred by student dentist</w:t>
            </w:r>
          </w:p>
        </w:tc>
        <w:tc>
          <w:tcPr>
            <w:tcW w:w="949" w:type="dxa"/>
            <w:shd w:val="clear" w:color="auto" w:fill="auto"/>
            <w:vAlign w:val="center"/>
          </w:tcPr>
          <w:p w:rsidR="00974B16" w:rsidRPr="0071165C" w:rsidRDefault="006F2386" w:rsidP="006F2386">
            <w:pPr>
              <w:pStyle w:val="NoSpacing"/>
              <w:jc w:val="center"/>
            </w:pPr>
            <w:r>
              <w:t>5.5</w:t>
            </w:r>
            <w:r w:rsidR="002B0AC0">
              <w:t>%</w:t>
            </w:r>
          </w:p>
        </w:tc>
        <w:tc>
          <w:tcPr>
            <w:tcW w:w="949" w:type="dxa"/>
            <w:tcBorders>
              <w:bottom w:val="single" w:sz="4" w:space="0" w:color="000000" w:themeColor="text1"/>
            </w:tcBorders>
            <w:shd w:val="clear" w:color="auto" w:fill="auto"/>
            <w:vAlign w:val="center"/>
          </w:tcPr>
          <w:p w:rsidR="00974B16" w:rsidRPr="0071165C" w:rsidRDefault="006F2386" w:rsidP="006F2386">
            <w:pPr>
              <w:pStyle w:val="NoSpacing"/>
              <w:jc w:val="center"/>
            </w:pPr>
            <w:r>
              <w:t>4.3</w:t>
            </w:r>
            <w:r w:rsidR="002B0AC0">
              <w:t>%</w:t>
            </w:r>
          </w:p>
        </w:tc>
        <w:tc>
          <w:tcPr>
            <w:tcW w:w="949" w:type="dxa"/>
            <w:tcBorders>
              <w:bottom w:val="single" w:sz="4" w:space="0" w:color="000000" w:themeColor="text1"/>
            </w:tcBorders>
            <w:shd w:val="clear" w:color="auto" w:fill="auto"/>
            <w:vAlign w:val="center"/>
          </w:tcPr>
          <w:p w:rsidR="00974B16" w:rsidRPr="0071165C" w:rsidRDefault="006F2386" w:rsidP="006F2386">
            <w:pPr>
              <w:pStyle w:val="NoSpacing"/>
              <w:jc w:val="center"/>
            </w:pPr>
            <w:r>
              <w:t>7.5</w:t>
            </w:r>
            <w:r w:rsidR="002B0AC0">
              <w:t>%</w:t>
            </w:r>
          </w:p>
        </w:tc>
        <w:tc>
          <w:tcPr>
            <w:tcW w:w="949" w:type="dxa"/>
            <w:shd w:val="clear" w:color="auto" w:fill="auto"/>
            <w:vAlign w:val="center"/>
          </w:tcPr>
          <w:p w:rsidR="00974B16" w:rsidRPr="0071165C" w:rsidRDefault="006F2386" w:rsidP="006F2386">
            <w:pPr>
              <w:pStyle w:val="NoSpacing"/>
              <w:jc w:val="center"/>
            </w:pPr>
            <w:r>
              <w:t>10.3</w:t>
            </w:r>
            <w:r w:rsidR="002B0AC0">
              <w:t>%</w:t>
            </w:r>
          </w:p>
        </w:tc>
        <w:tc>
          <w:tcPr>
            <w:tcW w:w="949" w:type="dxa"/>
            <w:tcBorders>
              <w:bottom w:val="single" w:sz="4" w:space="0" w:color="000000" w:themeColor="text1"/>
            </w:tcBorders>
            <w:shd w:val="clear" w:color="auto" w:fill="auto"/>
            <w:vAlign w:val="center"/>
          </w:tcPr>
          <w:p w:rsidR="00974B16" w:rsidRPr="0071165C" w:rsidRDefault="006F2386" w:rsidP="006F2386">
            <w:pPr>
              <w:pStyle w:val="NoSpacing"/>
              <w:jc w:val="center"/>
            </w:pPr>
            <w:r>
              <w:t>15.8</w:t>
            </w:r>
            <w:r w:rsidR="002B0AC0">
              <w:t>%</w:t>
            </w:r>
          </w:p>
        </w:tc>
        <w:tc>
          <w:tcPr>
            <w:tcW w:w="949" w:type="dxa"/>
            <w:tcBorders>
              <w:bottom w:val="single" w:sz="4" w:space="0" w:color="000000" w:themeColor="text1"/>
            </w:tcBorders>
            <w:shd w:val="clear" w:color="auto" w:fill="auto"/>
            <w:vAlign w:val="center"/>
          </w:tcPr>
          <w:p w:rsidR="00974B16" w:rsidRDefault="006F2386" w:rsidP="006F2386">
            <w:pPr>
              <w:pStyle w:val="NoSpacing"/>
              <w:jc w:val="center"/>
            </w:pPr>
            <w:r>
              <w:t>3.9</w:t>
            </w:r>
            <w:r w:rsidR="002B0AC0">
              <w:t>%</w:t>
            </w:r>
          </w:p>
        </w:tc>
        <w:tc>
          <w:tcPr>
            <w:tcW w:w="949" w:type="dxa"/>
            <w:tcBorders>
              <w:bottom w:val="single" w:sz="4" w:space="0" w:color="000000" w:themeColor="text1"/>
            </w:tcBorders>
            <w:shd w:val="clear" w:color="auto" w:fill="auto"/>
            <w:vAlign w:val="center"/>
          </w:tcPr>
          <w:p w:rsidR="00974B16" w:rsidRPr="0071165C" w:rsidRDefault="006F2386" w:rsidP="006F2386">
            <w:pPr>
              <w:pStyle w:val="NoSpacing"/>
              <w:jc w:val="center"/>
            </w:pPr>
            <w:r>
              <w:t>0.0</w:t>
            </w:r>
            <w:r w:rsidR="002B0AC0">
              <w:t>%</w:t>
            </w:r>
          </w:p>
        </w:tc>
        <w:tc>
          <w:tcPr>
            <w:tcW w:w="949" w:type="dxa"/>
            <w:tcBorders>
              <w:bottom w:val="single" w:sz="4" w:space="0" w:color="000000" w:themeColor="text1"/>
            </w:tcBorders>
            <w:shd w:val="clear" w:color="auto" w:fill="auto"/>
            <w:vAlign w:val="center"/>
          </w:tcPr>
          <w:p w:rsidR="00974B16" w:rsidRPr="0071165C" w:rsidRDefault="006F2386" w:rsidP="006F2386">
            <w:pPr>
              <w:pStyle w:val="NoSpacing"/>
              <w:jc w:val="center"/>
            </w:pPr>
            <w:r>
              <w:t>7.3</w:t>
            </w:r>
            <w:r w:rsidR="002B0AC0">
              <w:t>%</w:t>
            </w:r>
          </w:p>
        </w:tc>
        <w:tc>
          <w:tcPr>
            <w:tcW w:w="949" w:type="dxa"/>
            <w:tcBorders>
              <w:bottom w:val="single" w:sz="4" w:space="0" w:color="000000" w:themeColor="text1"/>
            </w:tcBorders>
            <w:shd w:val="clear" w:color="auto" w:fill="auto"/>
            <w:vAlign w:val="center"/>
          </w:tcPr>
          <w:p w:rsidR="00974B16" w:rsidRPr="0071165C" w:rsidRDefault="006F2386" w:rsidP="006F2386">
            <w:pPr>
              <w:pStyle w:val="NoSpacing"/>
              <w:jc w:val="center"/>
            </w:pPr>
            <w:r>
              <w:t>6.0</w:t>
            </w:r>
            <w:r w:rsidR="002B0AC0">
              <w:t>%</w:t>
            </w:r>
          </w:p>
        </w:tc>
        <w:tc>
          <w:tcPr>
            <w:tcW w:w="949" w:type="dxa"/>
            <w:tcBorders>
              <w:bottom w:val="single" w:sz="4" w:space="0" w:color="000000" w:themeColor="text1"/>
            </w:tcBorders>
            <w:shd w:val="clear" w:color="auto" w:fill="auto"/>
            <w:vAlign w:val="center"/>
          </w:tcPr>
          <w:p w:rsidR="00974B16" w:rsidRPr="0071165C" w:rsidRDefault="002B0AC0" w:rsidP="006F2386">
            <w:pPr>
              <w:pStyle w:val="NoSpacing"/>
              <w:jc w:val="center"/>
            </w:pPr>
            <w:r>
              <w:t>0.0%</w:t>
            </w:r>
          </w:p>
        </w:tc>
        <w:tc>
          <w:tcPr>
            <w:tcW w:w="950" w:type="dxa"/>
            <w:shd w:val="clear" w:color="auto" w:fill="auto"/>
            <w:vAlign w:val="center"/>
          </w:tcPr>
          <w:p w:rsidR="00974B16" w:rsidRPr="0071165C" w:rsidRDefault="002B0AC0" w:rsidP="006F2386">
            <w:pPr>
              <w:pStyle w:val="NoSpacing"/>
              <w:jc w:val="center"/>
            </w:pPr>
            <w:r>
              <w:t>2.0%</w:t>
            </w:r>
          </w:p>
        </w:tc>
      </w:tr>
      <w:tr w:rsidR="00974B16" w:rsidTr="002B0AC0">
        <w:tc>
          <w:tcPr>
            <w:tcW w:w="3348" w:type="dxa"/>
          </w:tcPr>
          <w:p w:rsidR="00974B16" w:rsidRDefault="00974B16" w:rsidP="0012386A">
            <w:pPr>
              <w:pStyle w:val="NoSpacing"/>
            </w:pPr>
            <w:r>
              <w:t>Referred by another health care provider</w:t>
            </w:r>
          </w:p>
        </w:tc>
        <w:tc>
          <w:tcPr>
            <w:tcW w:w="949" w:type="dxa"/>
            <w:shd w:val="clear" w:color="auto" w:fill="auto"/>
            <w:vAlign w:val="center"/>
          </w:tcPr>
          <w:p w:rsidR="00974B16" w:rsidRPr="0071165C" w:rsidRDefault="006F2386" w:rsidP="006F2386">
            <w:pPr>
              <w:pStyle w:val="NoSpacing"/>
              <w:jc w:val="center"/>
            </w:pPr>
            <w:r>
              <w:t>11.2</w:t>
            </w:r>
            <w:r w:rsidR="002B0AC0">
              <w:t>%</w:t>
            </w:r>
          </w:p>
        </w:tc>
        <w:tc>
          <w:tcPr>
            <w:tcW w:w="949" w:type="dxa"/>
            <w:shd w:val="clear" w:color="auto" w:fill="auto"/>
            <w:vAlign w:val="center"/>
          </w:tcPr>
          <w:p w:rsidR="00974B16" w:rsidRPr="0071165C" w:rsidRDefault="006F2386" w:rsidP="006F2386">
            <w:pPr>
              <w:pStyle w:val="NoSpacing"/>
              <w:jc w:val="center"/>
            </w:pPr>
            <w:r>
              <w:t>13.0</w:t>
            </w:r>
            <w:r w:rsidR="002B0AC0">
              <w:t>%</w:t>
            </w:r>
          </w:p>
        </w:tc>
        <w:tc>
          <w:tcPr>
            <w:tcW w:w="949" w:type="dxa"/>
            <w:tcBorders>
              <w:bottom w:val="single" w:sz="4" w:space="0" w:color="000000" w:themeColor="text1"/>
            </w:tcBorders>
            <w:shd w:val="clear" w:color="auto" w:fill="auto"/>
            <w:vAlign w:val="center"/>
          </w:tcPr>
          <w:p w:rsidR="00974B16" w:rsidRPr="0071165C" w:rsidRDefault="006F2386" w:rsidP="006F2386">
            <w:pPr>
              <w:pStyle w:val="NoSpacing"/>
              <w:jc w:val="center"/>
            </w:pPr>
            <w:r>
              <w:t>32.1</w:t>
            </w:r>
            <w:r w:rsidR="002B0AC0">
              <w:t>%</w:t>
            </w:r>
          </w:p>
        </w:tc>
        <w:tc>
          <w:tcPr>
            <w:tcW w:w="949" w:type="dxa"/>
            <w:shd w:val="clear" w:color="auto" w:fill="auto"/>
            <w:vAlign w:val="center"/>
          </w:tcPr>
          <w:p w:rsidR="00974B16" w:rsidRPr="0071165C" w:rsidRDefault="006F2386" w:rsidP="006F2386">
            <w:pPr>
              <w:pStyle w:val="NoSpacing"/>
              <w:jc w:val="center"/>
            </w:pPr>
            <w:r>
              <w:t>20.7</w:t>
            </w:r>
            <w:r w:rsidR="002B0AC0">
              <w:t>%</w:t>
            </w:r>
          </w:p>
        </w:tc>
        <w:tc>
          <w:tcPr>
            <w:tcW w:w="949" w:type="dxa"/>
            <w:shd w:val="clear" w:color="auto" w:fill="auto"/>
            <w:vAlign w:val="center"/>
          </w:tcPr>
          <w:p w:rsidR="00974B16" w:rsidRPr="0071165C" w:rsidRDefault="006F2386" w:rsidP="006F2386">
            <w:pPr>
              <w:pStyle w:val="NoSpacing"/>
              <w:jc w:val="center"/>
            </w:pPr>
            <w:r>
              <w:t>15.8</w:t>
            </w:r>
            <w:r w:rsidR="002B0AC0">
              <w:t>%</w:t>
            </w:r>
          </w:p>
        </w:tc>
        <w:tc>
          <w:tcPr>
            <w:tcW w:w="949" w:type="dxa"/>
            <w:shd w:val="clear" w:color="auto" w:fill="auto"/>
            <w:vAlign w:val="center"/>
          </w:tcPr>
          <w:p w:rsidR="00974B16" w:rsidRDefault="006F2386" w:rsidP="006F2386">
            <w:pPr>
              <w:pStyle w:val="NoSpacing"/>
              <w:jc w:val="center"/>
            </w:pPr>
            <w:r>
              <w:t>15.8</w:t>
            </w:r>
            <w:r w:rsidR="002B0AC0">
              <w:t>%</w:t>
            </w:r>
          </w:p>
        </w:tc>
        <w:tc>
          <w:tcPr>
            <w:tcW w:w="949" w:type="dxa"/>
            <w:shd w:val="clear" w:color="auto" w:fill="FDE9D9" w:themeFill="accent6" w:themeFillTint="33"/>
            <w:vAlign w:val="center"/>
          </w:tcPr>
          <w:p w:rsidR="00974B16" w:rsidRPr="0071165C" w:rsidRDefault="006F2386" w:rsidP="006F2386">
            <w:pPr>
              <w:pStyle w:val="NoSpacing"/>
              <w:jc w:val="center"/>
            </w:pPr>
            <w:r>
              <w:t>100.0</w:t>
            </w:r>
            <w:r w:rsidR="002B0AC0">
              <w:t>%</w:t>
            </w:r>
          </w:p>
        </w:tc>
        <w:tc>
          <w:tcPr>
            <w:tcW w:w="949" w:type="dxa"/>
            <w:shd w:val="clear" w:color="auto" w:fill="FDE9D9" w:themeFill="accent6" w:themeFillTint="33"/>
            <w:vAlign w:val="center"/>
          </w:tcPr>
          <w:p w:rsidR="00974B16" w:rsidRPr="0071165C" w:rsidRDefault="006F2386" w:rsidP="006F2386">
            <w:pPr>
              <w:pStyle w:val="NoSpacing"/>
              <w:jc w:val="center"/>
            </w:pPr>
            <w:r>
              <w:t>27.3</w:t>
            </w:r>
            <w:r w:rsidR="002B0AC0">
              <w:t>%</w:t>
            </w:r>
          </w:p>
        </w:tc>
        <w:tc>
          <w:tcPr>
            <w:tcW w:w="949" w:type="dxa"/>
            <w:shd w:val="clear" w:color="auto" w:fill="auto"/>
            <w:vAlign w:val="center"/>
          </w:tcPr>
          <w:p w:rsidR="00974B16" w:rsidRPr="0071165C" w:rsidRDefault="006F2386" w:rsidP="006F2386">
            <w:pPr>
              <w:pStyle w:val="NoSpacing"/>
              <w:jc w:val="center"/>
            </w:pPr>
            <w:r>
              <w:t>31.3</w:t>
            </w:r>
            <w:r w:rsidR="002B0AC0">
              <w:t>%</w:t>
            </w:r>
          </w:p>
        </w:tc>
        <w:tc>
          <w:tcPr>
            <w:tcW w:w="949" w:type="dxa"/>
            <w:shd w:val="clear" w:color="auto" w:fill="auto"/>
            <w:vAlign w:val="center"/>
          </w:tcPr>
          <w:p w:rsidR="00974B16" w:rsidRPr="0071165C" w:rsidRDefault="002B0AC0" w:rsidP="006F2386">
            <w:pPr>
              <w:pStyle w:val="NoSpacing"/>
              <w:jc w:val="center"/>
            </w:pPr>
            <w:r>
              <w:t>22.9%</w:t>
            </w:r>
          </w:p>
        </w:tc>
        <w:tc>
          <w:tcPr>
            <w:tcW w:w="950" w:type="dxa"/>
            <w:shd w:val="clear" w:color="auto" w:fill="auto"/>
            <w:vAlign w:val="center"/>
          </w:tcPr>
          <w:p w:rsidR="00974B16" w:rsidRPr="0071165C" w:rsidRDefault="002B0AC0" w:rsidP="006F2386">
            <w:pPr>
              <w:pStyle w:val="NoSpacing"/>
              <w:jc w:val="center"/>
            </w:pPr>
            <w:r>
              <w:t>24.5%</w:t>
            </w:r>
          </w:p>
        </w:tc>
      </w:tr>
      <w:tr w:rsidR="00974B16" w:rsidTr="006F2386">
        <w:tc>
          <w:tcPr>
            <w:tcW w:w="3348" w:type="dxa"/>
          </w:tcPr>
          <w:p w:rsidR="00974B16" w:rsidRDefault="00974B16" w:rsidP="0012386A">
            <w:pPr>
              <w:pStyle w:val="NoSpacing"/>
            </w:pPr>
            <w:r>
              <w:t>Gator Advantage member</w:t>
            </w:r>
          </w:p>
        </w:tc>
        <w:tc>
          <w:tcPr>
            <w:tcW w:w="949" w:type="dxa"/>
            <w:shd w:val="clear" w:color="auto" w:fill="auto"/>
            <w:vAlign w:val="center"/>
          </w:tcPr>
          <w:p w:rsidR="00974B16" w:rsidRDefault="006F2386" w:rsidP="006F2386">
            <w:pPr>
              <w:pStyle w:val="NoSpacing"/>
              <w:jc w:val="center"/>
            </w:pPr>
            <w:r>
              <w:t>1.1</w:t>
            </w:r>
            <w:r w:rsidR="002B0AC0">
              <w:t>%</w:t>
            </w:r>
          </w:p>
        </w:tc>
        <w:tc>
          <w:tcPr>
            <w:tcW w:w="949" w:type="dxa"/>
            <w:tcBorders>
              <w:bottom w:val="single" w:sz="4" w:space="0" w:color="000000" w:themeColor="text1"/>
            </w:tcBorders>
            <w:shd w:val="clear" w:color="auto" w:fill="auto"/>
            <w:vAlign w:val="center"/>
          </w:tcPr>
          <w:p w:rsidR="00974B16" w:rsidRDefault="006F2386" w:rsidP="006F2386">
            <w:pPr>
              <w:pStyle w:val="NoSpacing"/>
              <w:jc w:val="center"/>
            </w:pPr>
            <w:r>
              <w:t>13.0</w:t>
            </w:r>
            <w:r w:rsidR="002B0AC0">
              <w:t>%</w:t>
            </w:r>
          </w:p>
        </w:tc>
        <w:tc>
          <w:tcPr>
            <w:tcW w:w="949" w:type="dxa"/>
            <w:shd w:val="clear" w:color="auto" w:fill="auto"/>
            <w:vAlign w:val="center"/>
          </w:tcPr>
          <w:p w:rsidR="00974B16" w:rsidRDefault="006F2386" w:rsidP="006F2386">
            <w:pPr>
              <w:pStyle w:val="NoSpacing"/>
              <w:jc w:val="center"/>
            </w:pPr>
            <w:r>
              <w:t>3.8</w:t>
            </w:r>
            <w:r w:rsidR="002B0AC0">
              <w:t>%</w:t>
            </w:r>
          </w:p>
        </w:tc>
        <w:tc>
          <w:tcPr>
            <w:tcW w:w="949" w:type="dxa"/>
            <w:shd w:val="clear" w:color="auto" w:fill="auto"/>
            <w:vAlign w:val="center"/>
          </w:tcPr>
          <w:p w:rsidR="00974B16" w:rsidRDefault="006F2386" w:rsidP="006F2386">
            <w:pPr>
              <w:pStyle w:val="NoSpacing"/>
              <w:jc w:val="center"/>
            </w:pPr>
            <w:r>
              <w:t>3.4</w:t>
            </w:r>
            <w:r w:rsidR="002B0AC0">
              <w:t>%</w:t>
            </w:r>
          </w:p>
        </w:tc>
        <w:tc>
          <w:tcPr>
            <w:tcW w:w="949" w:type="dxa"/>
            <w:shd w:val="clear" w:color="auto" w:fill="auto"/>
            <w:vAlign w:val="center"/>
          </w:tcPr>
          <w:p w:rsidR="00974B16" w:rsidRDefault="006F2386" w:rsidP="006F2386">
            <w:pPr>
              <w:pStyle w:val="NoSpacing"/>
              <w:jc w:val="center"/>
            </w:pPr>
            <w:r>
              <w:t>5.3</w:t>
            </w:r>
            <w:r w:rsidR="002B0AC0">
              <w:t>%</w:t>
            </w:r>
          </w:p>
        </w:tc>
        <w:tc>
          <w:tcPr>
            <w:tcW w:w="949" w:type="dxa"/>
            <w:shd w:val="clear" w:color="auto" w:fill="auto"/>
            <w:vAlign w:val="center"/>
          </w:tcPr>
          <w:p w:rsidR="00974B16" w:rsidRDefault="006F2386" w:rsidP="006F2386">
            <w:pPr>
              <w:pStyle w:val="NoSpacing"/>
              <w:jc w:val="center"/>
            </w:pPr>
            <w:r>
              <w:t>0.0</w:t>
            </w:r>
            <w:r w:rsidR="002B0AC0">
              <w:t>%</w:t>
            </w:r>
          </w:p>
        </w:tc>
        <w:tc>
          <w:tcPr>
            <w:tcW w:w="949" w:type="dxa"/>
            <w:shd w:val="clear" w:color="auto" w:fill="auto"/>
            <w:vAlign w:val="center"/>
          </w:tcPr>
          <w:p w:rsidR="00974B16" w:rsidRDefault="006F2386" w:rsidP="006F2386">
            <w:pPr>
              <w:pStyle w:val="NoSpacing"/>
              <w:jc w:val="center"/>
            </w:pPr>
            <w:r>
              <w:t>5.9</w:t>
            </w:r>
            <w:r w:rsidR="002B0AC0">
              <w:t>%</w:t>
            </w:r>
          </w:p>
        </w:tc>
        <w:tc>
          <w:tcPr>
            <w:tcW w:w="949" w:type="dxa"/>
            <w:shd w:val="clear" w:color="auto" w:fill="auto"/>
            <w:vAlign w:val="center"/>
          </w:tcPr>
          <w:p w:rsidR="00974B16" w:rsidRDefault="006F2386" w:rsidP="006F2386">
            <w:pPr>
              <w:jc w:val="center"/>
            </w:pPr>
            <w:r>
              <w:t>1.8</w:t>
            </w:r>
            <w:r w:rsidR="002B0AC0">
              <w:t>%</w:t>
            </w:r>
          </w:p>
        </w:tc>
        <w:tc>
          <w:tcPr>
            <w:tcW w:w="949" w:type="dxa"/>
            <w:shd w:val="clear" w:color="auto" w:fill="auto"/>
            <w:vAlign w:val="center"/>
          </w:tcPr>
          <w:p w:rsidR="00974B16" w:rsidRDefault="006F2386" w:rsidP="006F2386">
            <w:pPr>
              <w:pStyle w:val="NoSpacing"/>
              <w:jc w:val="center"/>
            </w:pPr>
            <w:r>
              <w:t>0.0</w:t>
            </w:r>
            <w:r w:rsidR="002B0AC0">
              <w:t>%</w:t>
            </w:r>
          </w:p>
        </w:tc>
        <w:tc>
          <w:tcPr>
            <w:tcW w:w="949" w:type="dxa"/>
            <w:shd w:val="clear" w:color="auto" w:fill="auto"/>
            <w:vAlign w:val="center"/>
          </w:tcPr>
          <w:p w:rsidR="00974B16" w:rsidRDefault="002B0AC0" w:rsidP="006F2386">
            <w:pPr>
              <w:pStyle w:val="NoSpacing"/>
              <w:jc w:val="center"/>
            </w:pPr>
            <w:r>
              <w:t>2.9%</w:t>
            </w:r>
          </w:p>
        </w:tc>
        <w:tc>
          <w:tcPr>
            <w:tcW w:w="950" w:type="dxa"/>
            <w:shd w:val="clear" w:color="auto" w:fill="auto"/>
            <w:vAlign w:val="center"/>
          </w:tcPr>
          <w:p w:rsidR="00974B16" w:rsidRDefault="002B0AC0" w:rsidP="006F2386">
            <w:pPr>
              <w:pStyle w:val="NoSpacing"/>
              <w:jc w:val="center"/>
            </w:pPr>
            <w:r>
              <w:t>2.0%</w:t>
            </w:r>
          </w:p>
        </w:tc>
      </w:tr>
      <w:tr w:rsidR="00974B16" w:rsidTr="002B0AC0">
        <w:tc>
          <w:tcPr>
            <w:tcW w:w="3348" w:type="dxa"/>
          </w:tcPr>
          <w:p w:rsidR="00974B16" w:rsidRDefault="00974B16" w:rsidP="0012386A">
            <w:pPr>
              <w:pStyle w:val="NoSpacing"/>
            </w:pPr>
            <w:r>
              <w:t>Noticed the dental clinics on way to Shands</w:t>
            </w:r>
          </w:p>
        </w:tc>
        <w:tc>
          <w:tcPr>
            <w:tcW w:w="949" w:type="dxa"/>
            <w:shd w:val="clear" w:color="auto" w:fill="auto"/>
            <w:vAlign w:val="center"/>
          </w:tcPr>
          <w:p w:rsidR="00974B16" w:rsidRDefault="006F2386" w:rsidP="006F2386">
            <w:pPr>
              <w:pStyle w:val="NoSpacing"/>
              <w:jc w:val="center"/>
            </w:pPr>
            <w:r>
              <w:t>3.4</w:t>
            </w:r>
            <w:r w:rsidR="002B0AC0">
              <w:t>%</w:t>
            </w:r>
          </w:p>
        </w:tc>
        <w:tc>
          <w:tcPr>
            <w:tcW w:w="949" w:type="dxa"/>
            <w:shd w:val="clear" w:color="auto" w:fill="auto"/>
            <w:vAlign w:val="center"/>
          </w:tcPr>
          <w:p w:rsidR="00974B16" w:rsidRDefault="006F2386" w:rsidP="006F2386">
            <w:pPr>
              <w:pStyle w:val="NoSpacing"/>
              <w:jc w:val="center"/>
            </w:pPr>
            <w:r>
              <w:t>8.7</w:t>
            </w:r>
            <w:r w:rsidR="002B0AC0">
              <w:t>%</w:t>
            </w:r>
          </w:p>
        </w:tc>
        <w:tc>
          <w:tcPr>
            <w:tcW w:w="949" w:type="dxa"/>
            <w:shd w:val="clear" w:color="auto" w:fill="auto"/>
            <w:vAlign w:val="center"/>
          </w:tcPr>
          <w:p w:rsidR="00974B16" w:rsidRDefault="006F2386" w:rsidP="006F2386">
            <w:pPr>
              <w:pStyle w:val="NoSpacing"/>
              <w:jc w:val="center"/>
            </w:pPr>
            <w:r>
              <w:t>1.9</w:t>
            </w:r>
            <w:r w:rsidR="002B0AC0">
              <w:t>%</w:t>
            </w:r>
          </w:p>
        </w:tc>
        <w:tc>
          <w:tcPr>
            <w:tcW w:w="949" w:type="dxa"/>
            <w:shd w:val="clear" w:color="auto" w:fill="auto"/>
            <w:vAlign w:val="center"/>
          </w:tcPr>
          <w:p w:rsidR="00974B16" w:rsidRDefault="006F2386" w:rsidP="006F2386">
            <w:pPr>
              <w:pStyle w:val="NoSpacing"/>
              <w:jc w:val="center"/>
            </w:pPr>
            <w:r>
              <w:t>3.4</w:t>
            </w:r>
            <w:r w:rsidR="002B0AC0">
              <w:t>%</w:t>
            </w:r>
          </w:p>
        </w:tc>
        <w:tc>
          <w:tcPr>
            <w:tcW w:w="949" w:type="dxa"/>
            <w:tcBorders>
              <w:bottom w:val="single" w:sz="4" w:space="0" w:color="000000" w:themeColor="text1"/>
            </w:tcBorders>
            <w:shd w:val="clear" w:color="auto" w:fill="auto"/>
            <w:vAlign w:val="center"/>
          </w:tcPr>
          <w:p w:rsidR="00974B16" w:rsidRDefault="006F2386" w:rsidP="006F2386">
            <w:pPr>
              <w:pStyle w:val="NoSpacing"/>
              <w:jc w:val="center"/>
            </w:pPr>
            <w:r>
              <w:t>0.0</w:t>
            </w:r>
            <w:r w:rsidR="002B0AC0">
              <w:t>%</w:t>
            </w:r>
          </w:p>
        </w:tc>
        <w:tc>
          <w:tcPr>
            <w:tcW w:w="949" w:type="dxa"/>
            <w:vAlign w:val="center"/>
          </w:tcPr>
          <w:p w:rsidR="00974B16" w:rsidRDefault="006F2386" w:rsidP="006F2386">
            <w:pPr>
              <w:pStyle w:val="NoSpacing"/>
              <w:jc w:val="center"/>
            </w:pPr>
            <w:r>
              <w:t>1.3</w:t>
            </w:r>
            <w:r w:rsidR="002B0AC0">
              <w:t>%</w:t>
            </w:r>
          </w:p>
        </w:tc>
        <w:tc>
          <w:tcPr>
            <w:tcW w:w="949" w:type="dxa"/>
            <w:shd w:val="clear" w:color="auto" w:fill="auto"/>
            <w:vAlign w:val="center"/>
          </w:tcPr>
          <w:p w:rsidR="00974B16" w:rsidRDefault="006F2386" w:rsidP="006F2386">
            <w:pPr>
              <w:pStyle w:val="NoSpacing"/>
              <w:jc w:val="center"/>
            </w:pPr>
            <w:r>
              <w:t>0.0</w:t>
            </w:r>
            <w:r w:rsidR="002B0AC0">
              <w:t>%</w:t>
            </w:r>
          </w:p>
        </w:tc>
        <w:tc>
          <w:tcPr>
            <w:tcW w:w="949" w:type="dxa"/>
            <w:tcBorders>
              <w:bottom w:val="single" w:sz="4" w:space="0" w:color="000000" w:themeColor="text1"/>
            </w:tcBorders>
            <w:shd w:val="clear" w:color="auto" w:fill="auto"/>
            <w:vAlign w:val="center"/>
          </w:tcPr>
          <w:p w:rsidR="00974B16" w:rsidRDefault="006F2386" w:rsidP="006F2386">
            <w:pPr>
              <w:jc w:val="center"/>
            </w:pPr>
            <w:r>
              <w:t>3.6</w:t>
            </w:r>
            <w:r w:rsidR="002B0AC0">
              <w:t>%</w:t>
            </w:r>
          </w:p>
        </w:tc>
        <w:tc>
          <w:tcPr>
            <w:tcW w:w="949" w:type="dxa"/>
            <w:shd w:val="clear" w:color="auto" w:fill="auto"/>
            <w:vAlign w:val="center"/>
          </w:tcPr>
          <w:p w:rsidR="00974B16" w:rsidRDefault="006F2386" w:rsidP="006F2386">
            <w:pPr>
              <w:pStyle w:val="NoSpacing"/>
              <w:jc w:val="center"/>
            </w:pPr>
            <w:r>
              <w:t>1.5</w:t>
            </w:r>
            <w:r w:rsidR="002B0AC0">
              <w:t>%</w:t>
            </w:r>
          </w:p>
        </w:tc>
        <w:tc>
          <w:tcPr>
            <w:tcW w:w="949" w:type="dxa"/>
            <w:shd w:val="clear" w:color="auto" w:fill="auto"/>
            <w:vAlign w:val="center"/>
          </w:tcPr>
          <w:p w:rsidR="00974B16" w:rsidRDefault="002B0AC0" w:rsidP="006F2386">
            <w:pPr>
              <w:pStyle w:val="NoSpacing"/>
              <w:jc w:val="center"/>
            </w:pPr>
            <w:r>
              <w:t>2.9%</w:t>
            </w:r>
          </w:p>
        </w:tc>
        <w:tc>
          <w:tcPr>
            <w:tcW w:w="950" w:type="dxa"/>
            <w:shd w:val="clear" w:color="auto" w:fill="auto"/>
            <w:vAlign w:val="center"/>
          </w:tcPr>
          <w:p w:rsidR="00974B16" w:rsidRDefault="002B0AC0" w:rsidP="006F2386">
            <w:pPr>
              <w:pStyle w:val="NoSpacing"/>
              <w:jc w:val="center"/>
            </w:pPr>
            <w:r>
              <w:t>0.0%</w:t>
            </w:r>
          </w:p>
        </w:tc>
      </w:tr>
      <w:tr w:rsidR="00974B16" w:rsidTr="002B0AC0">
        <w:tc>
          <w:tcPr>
            <w:tcW w:w="3348" w:type="dxa"/>
          </w:tcPr>
          <w:p w:rsidR="00974B16" w:rsidRDefault="00974B16" w:rsidP="0012386A">
            <w:pPr>
              <w:pStyle w:val="NoSpacing"/>
            </w:pPr>
            <w:r>
              <w:t>Enrolled in Medicaid Insurance program</w:t>
            </w:r>
          </w:p>
        </w:tc>
        <w:tc>
          <w:tcPr>
            <w:tcW w:w="949" w:type="dxa"/>
            <w:shd w:val="clear" w:color="auto" w:fill="auto"/>
            <w:vAlign w:val="center"/>
          </w:tcPr>
          <w:p w:rsidR="00974B16" w:rsidRDefault="006F2386" w:rsidP="006F2386">
            <w:pPr>
              <w:pStyle w:val="NoSpacing"/>
              <w:jc w:val="center"/>
            </w:pPr>
            <w:r>
              <w:t>3.7</w:t>
            </w:r>
            <w:r w:rsidR="002B0AC0">
              <w:t>%</w:t>
            </w:r>
          </w:p>
        </w:tc>
        <w:tc>
          <w:tcPr>
            <w:tcW w:w="949" w:type="dxa"/>
            <w:shd w:val="clear" w:color="auto" w:fill="auto"/>
            <w:vAlign w:val="center"/>
          </w:tcPr>
          <w:p w:rsidR="00974B16" w:rsidRDefault="006F2386" w:rsidP="006F2386">
            <w:pPr>
              <w:pStyle w:val="NoSpacing"/>
              <w:jc w:val="center"/>
            </w:pPr>
            <w:r>
              <w:t>0.0</w:t>
            </w:r>
            <w:r w:rsidR="002B0AC0">
              <w:t>%</w:t>
            </w:r>
          </w:p>
        </w:tc>
        <w:tc>
          <w:tcPr>
            <w:tcW w:w="949" w:type="dxa"/>
            <w:shd w:val="clear" w:color="auto" w:fill="auto"/>
            <w:vAlign w:val="center"/>
          </w:tcPr>
          <w:p w:rsidR="00974B16" w:rsidRDefault="006F2386" w:rsidP="006F2386">
            <w:pPr>
              <w:pStyle w:val="NoSpacing"/>
              <w:jc w:val="center"/>
            </w:pPr>
            <w:r>
              <w:t>7.5</w:t>
            </w:r>
            <w:r w:rsidR="002B0AC0">
              <w:t>%</w:t>
            </w:r>
          </w:p>
        </w:tc>
        <w:tc>
          <w:tcPr>
            <w:tcW w:w="949" w:type="dxa"/>
            <w:shd w:val="clear" w:color="auto" w:fill="auto"/>
            <w:vAlign w:val="center"/>
          </w:tcPr>
          <w:p w:rsidR="00974B16" w:rsidRDefault="006F2386" w:rsidP="006F2386">
            <w:pPr>
              <w:pStyle w:val="NoSpacing"/>
              <w:jc w:val="center"/>
            </w:pPr>
            <w:r>
              <w:t>3.4</w:t>
            </w:r>
            <w:r w:rsidR="002B0AC0">
              <w:t>%</w:t>
            </w:r>
          </w:p>
        </w:tc>
        <w:tc>
          <w:tcPr>
            <w:tcW w:w="949" w:type="dxa"/>
            <w:shd w:val="clear" w:color="auto" w:fill="auto"/>
            <w:vAlign w:val="center"/>
          </w:tcPr>
          <w:p w:rsidR="00974B16" w:rsidRDefault="006F2386" w:rsidP="006F2386">
            <w:pPr>
              <w:pStyle w:val="NoSpacing"/>
              <w:jc w:val="center"/>
            </w:pPr>
            <w:r>
              <w:t>0.0</w:t>
            </w:r>
            <w:r w:rsidR="002B0AC0">
              <w:t>%</w:t>
            </w:r>
          </w:p>
        </w:tc>
        <w:tc>
          <w:tcPr>
            <w:tcW w:w="949" w:type="dxa"/>
            <w:vAlign w:val="center"/>
          </w:tcPr>
          <w:p w:rsidR="00974B16" w:rsidRDefault="006F2386" w:rsidP="006F2386">
            <w:pPr>
              <w:pStyle w:val="NoSpacing"/>
              <w:jc w:val="center"/>
            </w:pPr>
            <w:r>
              <w:t>11.8</w:t>
            </w:r>
            <w:r w:rsidR="002B0AC0">
              <w:t>%</w:t>
            </w:r>
          </w:p>
        </w:tc>
        <w:tc>
          <w:tcPr>
            <w:tcW w:w="949" w:type="dxa"/>
            <w:shd w:val="clear" w:color="auto" w:fill="auto"/>
            <w:vAlign w:val="center"/>
          </w:tcPr>
          <w:p w:rsidR="00974B16" w:rsidRDefault="006F2386" w:rsidP="006F2386">
            <w:pPr>
              <w:pStyle w:val="NoSpacing"/>
              <w:jc w:val="center"/>
            </w:pPr>
            <w:r>
              <w:t>0.0</w:t>
            </w:r>
            <w:r w:rsidR="002B0AC0">
              <w:t>%</w:t>
            </w:r>
          </w:p>
        </w:tc>
        <w:tc>
          <w:tcPr>
            <w:tcW w:w="949" w:type="dxa"/>
            <w:shd w:val="clear" w:color="auto" w:fill="FDE9D9" w:themeFill="accent6" w:themeFillTint="33"/>
            <w:vAlign w:val="center"/>
          </w:tcPr>
          <w:p w:rsidR="00974B16" w:rsidRDefault="006F2386" w:rsidP="006F2386">
            <w:pPr>
              <w:pStyle w:val="NoSpacing"/>
              <w:jc w:val="center"/>
            </w:pPr>
            <w:r>
              <w:t>27.3</w:t>
            </w:r>
            <w:r w:rsidR="002B0AC0">
              <w:t>%</w:t>
            </w:r>
          </w:p>
        </w:tc>
        <w:tc>
          <w:tcPr>
            <w:tcW w:w="949" w:type="dxa"/>
            <w:shd w:val="clear" w:color="auto" w:fill="auto"/>
            <w:vAlign w:val="center"/>
          </w:tcPr>
          <w:p w:rsidR="00974B16" w:rsidRDefault="00036DD8" w:rsidP="006F2386">
            <w:pPr>
              <w:pStyle w:val="NoSpacing"/>
              <w:jc w:val="center"/>
            </w:pPr>
            <w:r>
              <w:t>3.0</w:t>
            </w:r>
            <w:r w:rsidR="002B0AC0">
              <w:t>%</w:t>
            </w:r>
          </w:p>
        </w:tc>
        <w:tc>
          <w:tcPr>
            <w:tcW w:w="949" w:type="dxa"/>
            <w:shd w:val="clear" w:color="auto" w:fill="auto"/>
            <w:vAlign w:val="center"/>
          </w:tcPr>
          <w:p w:rsidR="00974B16" w:rsidRDefault="002B0AC0" w:rsidP="006F2386">
            <w:pPr>
              <w:pStyle w:val="NoSpacing"/>
              <w:jc w:val="center"/>
            </w:pPr>
            <w:r>
              <w:t>22.9%</w:t>
            </w:r>
          </w:p>
        </w:tc>
        <w:tc>
          <w:tcPr>
            <w:tcW w:w="950" w:type="dxa"/>
            <w:shd w:val="clear" w:color="auto" w:fill="auto"/>
            <w:vAlign w:val="center"/>
          </w:tcPr>
          <w:p w:rsidR="00974B16" w:rsidRDefault="002B0AC0" w:rsidP="006F2386">
            <w:pPr>
              <w:pStyle w:val="NoSpacing"/>
              <w:jc w:val="center"/>
            </w:pPr>
            <w:r>
              <w:t>2.0%</w:t>
            </w:r>
          </w:p>
        </w:tc>
      </w:tr>
      <w:tr w:rsidR="00974B16" w:rsidTr="006F2386">
        <w:tc>
          <w:tcPr>
            <w:tcW w:w="3348" w:type="dxa"/>
          </w:tcPr>
          <w:p w:rsidR="00974B16" w:rsidRDefault="00974B16" w:rsidP="0012386A">
            <w:pPr>
              <w:pStyle w:val="NoSpacing"/>
            </w:pPr>
            <w:r>
              <w:t>Emergency Clinic/SOS</w:t>
            </w:r>
          </w:p>
        </w:tc>
        <w:tc>
          <w:tcPr>
            <w:tcW w:w="949" w:type="dxa"/>
            <w:shd w:val="clear" w:color="auto" w:fill="auto"/>
            <w:vAlign w:val="center"/>
          </w:tcPr>
          <w:p w:rsidR="00974B16" w:rsidRDefault="006F2386" w:rsidP="006F2386">
            <w:pPr>
              <w:pStyle w:val="NoSpacing"/>
              <w:jc w:val="center"/>
            </w:pPr>
            <w:r>
              <w:t>3.0</w:t>
            </w:r>
            <w:r w:rsidR="002B0AC0">
              <w:t>%</w:t>
            </w:r>
          </w:p>
        </w:tc>
        <w:tc>
          <w:tcPr>
            <w:tcW w:w="949" w:type="dxa"/>
            <w:shd w:val="clear" w:color="auto" w:fill="auto"/>
            <w:vAlign w:val="center"/>
          </w:tcPr>
          <w:p w:rsidR="00974B16" w:rsidRDefault="006F2386" w:rsidP="006F2386">
            <w:pPr>
              <w:pStyle w:val="NoSpacing"/>
              <w:jc w:val="center"/>
            </w:pPr>
            <w:r>
              <w:t>0.0</w:t>
            </w:r>
            <w:r w:rsidR="002B0AC0">
              <w:t>%</w:t>
            </w:r>
          </w:p>
        </w:tc>
        <w:tc>
          <w:tcPr>
            <w:tcW w:w="949" w:type="dxa"/>
            <w:shd w:val="clear" w:color="auto" w:fill="auto"/>
            <w:vAlign w:val="center"/>
          </w:tcPr>
          <w:p w:rsidR="00974B16" w:rsidRDefault="006F2386" w:rsidP="006F2386">
            <w:pPr>
              <w:pStyle w:val="NoSpacing"/>
              <w:jc w:val="center"/>
            </w:pPr>
            <w:r>
              <w:t>5.7</w:t>
            </w:r>
            <w:r w:rsidR="002B0AC0">
              <w:t>%</w:t>
            </w:r>
          </w:p>
        </w:tc>
        <w:tc>
          <w:tcPr>
            <w:tcW w:w="949" w:type="dxa"/>
            <w:shd w:val="clear" w:color="auto" w:fill="auto"/>
            <w:vAlign w:val="center"/>
          </w:tcPr>
          <w:p w:rsidR="00974B16" w:rsidRDefault="006F2386" w:rsidP="006F2386">
            <w:pPr>
              <w:pStyle w:val="NoSpacing"/>
              <w:jc w:val="center"/>
            </w:pPr>
            <w:r>
              <w:t>6.9</w:t>
            </w:r>
            <w:r w:rsidR="002B0AC0">
              <w:t>%</w:t>
            </w:r>
          </w:p>
        </w:tc>
        <w:tc>
          <w:tcPr>
            <w:tcW w:w="949" w:type="dxa"/>
            <w:shd w:val="clear" w:color="auto" w:fill="auto"/>
            <w:vAlign w:val="center"/>
          </w:tcPr>
          <w:p w:rsidR="00974B16" w:rsidRDefault="006F2386" w:rsidP="006F2386">
            <w:pPr>
              <w:pStyle w:val="NoSpacing"/>
              <w:jc w:val="center"/>
            </w:pPr>
            <w:r>
              <w:t>7.9</w:t>
            </w:r>
            <w:r w:rsidR="002B0AC0">
              <w:t>%</w:t>
            </w:r>
          </w:p>
        </w:tc>
        <w:tc>
          <w:tcPr>
            <w:tcW w:w="949" w:type="dxa"/>
            <w:vAlign w:val="center"/>
          </w:tcPr>
          <w:p w:rsidR="00974B16" w:rsidRDefault="006F2386" w:rsidP="006F2386">
            <w:pPr>
              <w:pStyle w:val="NoSpacing"/>
              <w:jc w:val="center"/>
            </w:pPr>
            <w:r>
              <w:t>1.3</w:t>
            </w:r>
            <w:r w:rsidR="002B0AC0">
              <w:t>%</w:t>
            </w:r>
          </w:p>
        </w:tc>
        <w:tc>
          <w:tcPr>
            <w:tcW w:w="949" w:type="dxa"/>
            <w:shd w:val="clear" w:color="auto" w:fill="auto"/>
            <w:vAlign w:val="center"/>
          </w:tcPr>
          <w:p w:rsidR="00974B16" w:rsidRDefault="006F2386" w:rsidP="006F2386">
            <w:pPr>
              <w:pStyle w:val="NoSpacing"/>
              <w:jc w:val="center"/>
            </w:pPr>
            <w:r>
              <w:t>0.0</w:t>
            </w:r>
            <w:r w:rsidR="002B0AC0">
              <w:t>%</w:t>
            </w:r>
          </w:p>
        </w:tc>
        <w:tc>
          <w:tcPr>
            <w:tcW w:w="949" w:type="dxa"/>
            <w:shd w:val="clear" w:color="auto" w:fill="auto"/>
            <w:vAlign w:val="center"/>
          </w:tcPr>
          <w:p w:rsidR="00974B16" w:rsidRDefault="006F2386" w:rsidP="006F2386">
            <w:pPr>
              <w:pStyle w:val="NoSpacing"/>
              <w:jc w:val="center"/>
            </w:pPr>
            <w:r>
              <w:t>5.5</w:t>
            </w:r>
            <w:r w:rsidR="002B0AC0">
              <w:t>%</w:t>
            </w:r>
          </w:p>
        </w:tc>
        <w:tc>
          <w:tcPr>
            <w:tcW w:w="949" w:type="dxa"/>
            <w:shd w:val="clear" w:color="auto" w:fill="auto"/>
            <w:vAlign w:val="center"/>
          </w:tcPr>
          <w:p w:rsidR="00974B16" w:rsidRDefault="00036DD8" w:rsidP="006F2386">
            <w:pPr>
              <w:pStyle w:val="NoSpacing"/>
              <w:jc w:val="center"/>
            </w:pPr>
            <w:r>
              <w:t>6.0</w:t>
            </w:r>
            <w:r w:rsidR="002B0AC0">
              <w:t>%</w:t>
            </w:r>
          </w:p>
        </w:tc>
        <w:tc>
          <w:tcPr>
            <w:tcW w:w="949" w:type="dxa"/>
            <w:shd w:val="clear" w:color="auto" w:fill="auto"/>
            <w:vAlign w:val="center"/>
          </w:tcPr>
          <w:p w:rsidR="00974B16" w:rsidRDefault="002B0AC0" w:rsidP="006F2386">
            <w:pPr>
              <w:pStyle w:val="NoSpacing"/>
              <w:jc w:val="center"/>
            </w:pPr>
            <w:r>
              <w:t>2.9%</w:t>
            </w:r>
          </w:p>
        </w:tc>
        <w:tc>
          <w:tcPr>
            <w:tcW w:w="950" w:type="dxa"/>
            <w:shd w:val="clear" w:color="auto" w:fill="auto"/>
            <w:vAlign w:val="center"/>
          </w:tcPr>
          <w:p w:rsidR="00974B16" w:rsidRDefault="002B0AC0" w:rsidP="006F2386">
            <w:pPr>
              <w:pStyle w:val="NoSpacing"/>
              <w:jc w:val="center"/>
            </w:pPr>
            <w:r>
              <w:t>2.0%</w:t>
            </w:r>
          </w:p>
        </w:tc>
      </w:tr>
      <w:tr w:rsidR="00974B16" w:rsidTr="006F2386">
        <w:tc>
          <w:tcPr>
            <w:tcW w:w="3348" w:type="dxa"/>
          </w:tcPr>
          <w:p w:rsidR="00974B16" w:rsidRDefault="00974B16" w:rsidP="0012386A">
            <w:pPr>
              <w:pStyle w:val="NoSpacing"/>
            </w:pPr>
            <w:r>
              <w:t>UF College of Dentistry website</w:t>
            </w:r>
          </w:p>
        </w:tc>
        <w:tc>
          <w:tcPr>
            <w:tcW w:w="949" w:type="dxa"/>
            <w:shd w:val="clear" w:color="auto" w:fill="auto"/>
            <w:vAlign w:val="center"/>
          </w:tcPr>
          <w:p w:rsidR="00974B16" w:rsidRDefault="006F2386" w:rsidP="006F2386">
            <w:pPr>
              <w:pStyle w:val="NoSpacing"/>
              <w:jc w:val="center"/>
            </w:pPr>
            <w:r>
              <w:t>11.2</w:t>
            </w:r>
            <w:r w:rsidR="002B0AC0">
              <w:t>%</w:t>
            </w:r>
          </w:p>
        </w:tc>
        <w:tc>
          <w:tcPr>
            <w:tcW w:w="949" w:type="dxa"/>
            <w:shd w:val="clear" w:color="auto" w:fill="auto"/>
            <w:vAlign w:val="center"/>
          </w:tcPr>
          <w:p w:rsidR="00974B16" w:rsidRDefault="006F2386" w:rsidP="006F2386">
            <w:pPr>
              <w:pStyle w:val="NoSpacing"/>
              <w:jc w:val="center"/>
            </w:pPr>
            <w:r>
              <w:t>8.7</w:t>
            </w:r>
            <w:r w:rsidR="002B0AC0">
              <w:t>%</w:t>
            </w:r>
          </w:p>
        </w:tc>
        <w:tc>
          <w:tcPr>
            <w:tcW w:w="949" w:type="dxa"/>
            <w:shd w:val="clear" w:color="auto" w:fill="auto"/>
            <w:vAlign w:val="center"/>
          </w:tcPr>
          <w:p w:rsidR="00974B16" w:rsidRDefault="006F2386" w:rsidP="006F2386">
            <w:pPr>
              <w:pStyle w:val="NoSpacing"/>
              <w:jc w:val="center"/>
            </w:pPr>
            <w:r>
              <w:t>5.7</w:t>
            </w:r>
            <w:r w:rsidR="002B0AC0">
              <w:t>%</w:t>
            </w:r>
          </w:p>
        </w:tc>
        <w:tc>
          <w:tcPr>
            <w:tcW w:w="949" w:type="dxa"/>
            <w:shd w:val="clear" w:color="auto" w:fill="auto"/>
            <w:vAlign w:val="center"/>
          </w:tcPr>
          <w:p w:rsidR="00974B16" w:rsidRDefault="006F2386" w:rsidP="006F2386">
            <w:pPr>
              <w:pStyle w:val="NoSpacing"/>
              <w:jc w:val="center"/>
            </w:pPr>
            <w:r>
              <w:t>3.4</w:t>
            </w:r>
            <w:r w:rsidR="002B0AC0">
              <w:t>%</w:t>
            </w:r>
          </w:p>
        </w:tc>
        <w:tc>
          <w:tcPr>
            <w:tcW w:w="949" w:type="dxa"/>
            <w:shd w:val="clear" w:color="auto" w:fill="auto"/>
            <w:vAlign w:val="center"/>
          </w:tcPr>
          <w:p w:rsidR="00974B16" w:rsidRDefault="006F2386" w:rsidP="006F2386">
            <w:pPr>
              <w:pStyle w:val="NoSpacing"/>
              <w:jc w:val="center"/>
            </w:pPr>
            <w:r>
              <w:t>5.3</w:t>
            </w:r>
            <w:r w:rsidR="002B0AC0">
              <w:t>%</w:t>
            </w:r>
          </w:p>
        </w:tc>
        <w:tc>
          <w:tcPr>
            <w:tcW w:w="949" w:type="dxa"/>
            <w:vAlign w:val="center"/>
          </w:tcPr>
          <w:p w:rsidR="00974B16" w:rsidRDefault="006F2386" w:rsidP="006F2386">
            <w:pPr>
              <w:pStyle w:val="NoSpacing"/>
              <w:jc w:val="center"/>
            </w:pPr>
            <w:r>
              <w:t>7.9</w:t>
            </w:r>
            <w:r w:rsidR="002B0AC0">
              <w:t>%</w:t>
            </w:r>
          </w:p>
        </w:tc>
        <w:tc>
          <w:tcPr>
            <w:tcW w:w="949" w:type="dxa"/>
            <w:shd w:val="clear" w:color="auto" w:fill="auto"/>
            <w:vAlign w:val="center"/>
          </w:tcPr>
          <w:p w:rsidR="00974B16" w:rsidRDefault="006F2386" w:rsidP="006F2386">
            <w:pPr>
              <w:pStyle w:val="NoSpacing"/>
              <w:jc w:val="center"/>
            </w:pPr>
            <w:r>
              <w:t>0.0</w:t>
            </w:r>
            <w:r w:rsidR="002B0AC0">
              <w:t>%</w:t>
            </w:r>
          </w:p>
        </w:tc>
        <w:tc>
          <w:tcPr>
            <w:tcW w:w="949" w:type="dxa"/>
            <w:shd w:val="clear" w:color="auto" w:fill="auto"/>
            <w:vAlign w:val="center"/>
          </w:tcPr>
          <w:p w:rsidR="00974B16" w:rsidRDefault="006F2386" w:rsidP="006F2386">
            <w:pPr>
              <w:pStyle w:val="NoSpacing"/>
              <w:jc w:val="center"/>
            </w:pPr>
            <w:r>
              <w:t>7.3</w:t>
            </w:r>
            <w:r w:rsidR="002B0AC0">
              <w:t>%</w:t>
            </w:r>
          </w:p>
        </w:tc>
        <w:tc>
          <w:tcPr>
            <w:tcW w:w="949" w:type="dxa"/>
            <w:shd w:val="clear" w:color="auto" w:fill="auto"/>
            <w:vAlign w:val="center"/>
          </w:tcPr>
          <w:p w:rsidR="00974B16" w:rsidRDefault="00036DD8" w:rsidP="006F2386">
            <w:pPr>
              <w:pStyle w:val="NoSpacing"/>
              <w:jc w:val="center"/>
            </w:pPr>
            <w:r>
              <w:t>9.0</w:t>
            </w:r>
            <w:r w:rsidR="002B0AC0">
              <w:t>%</w:t>
            </w:r>
          </w:p>
        </w:tc>
        <w:tc>
          <w:tcPr>
            <w:tcW w:w="949" w:type="dxa"/>
            <w:shd w:val="clear" w:color="auto" w:fill="auto"/>
            <w:vAlign w:val="center"/>
          </w:tcPr>
          <w:p w:rsidR="00974B16" w:rsidRDefault="002B0AC0" w:rsidP="006F2386">
            <w:pPr>
              <w:pStyle w:val="NoSpacing"/>
              <w:jc w:val="center"/>
            </w:pPr>
            <w:r>
              <w:t>0.0%</w:t>
            </w:r>
          </w:p>
        </w:tc>
        <w:tc>
          <w:tcPr>
            <w:tcW w:w="950" w:type="dxa"/>
            <w:shd w:val="clear" w:color="auto" w:fill="auto"/>
            <w:vAlign w:val="center"/>
          </w:tcPr>
          <w:p w:rsidR="00974B16" w:rsidRDefault="002B0AC0" w:rsidP="006F2386">
            <w:pPr>
              <w:pStyle w:val="NoSpacing"/>
              <w:jc w:val="center"/>
            </w:pPr>
            <w:r>
              <w:t>14.3%</w:t>
            </w:r>
          </w:p>
        </w:tc>
      </w:tr>
      <w:tr w:rsidR="00974B16" w:rsidTr="006F2386">
        <w:tc>
          <w:tcPr>
            <w:tcW w:w="3348" w:type="dxa"/>
          </w:tcPr>
          <w:p w:rsidR="00974B16" w:rsidRDefault="00974B16" w:rsidP="0012386A">
            <w:pPr>
              <w:pStyle w:val="NoSpacing"/>
            </w:pPr>
            <w:r>
              <w:t>At a health fair/community event</w:t>
            </w:r>
          </w:p>
        </w:tc>
        <w:tc>
          <w:tcPr>
            <w:tcW w:w="949" w:type="dxa"/>
            <w:shd w:val="clear" w:color="auto" w:fill="auto"/>
            <w:vAlign w:val="center"/>
          </w:tcPr>
          <w:p w:rsidR="00974B16" w:rsidRDefault="006F2386" w:rsidP="006F2386">
            <w:pPr>
              <w:pStyle w:val="NoSpacing"/>
              <w:jc w:val="center"/>
            </w:pPr>
            <w:r>
              <w:t>0.9</w:t>
            </w:r>
            <w:r w:rsidR="002B0AC0">
              <w:t>%</w:t>
            </w:r>
          </w:p>
        </w:tc>
        <w:tc>
          <w:tcPr>
            <w:tcW w:w="949" w:type="dxa"/>
            <w:shd w:val="clear" w:color="auto" w:fill="auto"/>
            <w:vAlign w:val="center"/>
          </w:tcPr>
          <w:p w:rsidR="00974B16" w:rsidRDefault="006F2386" w:rsidP="006F2386">
            <w:pPr>
              <w:pStyle w:val="NoSpacing"/>
              <w:jc w:val="center"/>
            </w:pPr>
            <w:r>
              <w:t>0.0</w:t>
            </w:r>
            <w:r w:rsidR="002B0AC0">
              <w:t>%</w:t>
            </w:r>
          </w:p>
        </w:tc>
        <w:tc>
          <w:tcPr>
            <w:tcW w:w="949" w:type="dxa"/>
            <w:shd w:val="clear" w:color="auto" w:fill="auto"/>
            <w:vAlign w:val="center"/>
          </w:tcPr>
          <w:p w:rsidR="00974B16" w:rsidRDefault="006F2386" w:rsidP="006F2386">
            <w:pPr>
              <w:pStyle w:val="NoSpacing"/>
              <w:jc w:val="center"/>
            </w:pPr>
            <w:r>
              <w:t>0.0</w:t>
            </w:r>
            <w:r w:rsidR="002B0AC0">
              <w:t>%</w:t>
            </w:r>
          </w:p>
        </w:tc>
        <w:tc>
          <w:tcPr>
            <w:tcW w:w="949" w:type="dxa"/>
            <w:shd w:val="clear" w:color="auto" w:fill="auto"/>
            <w:vAlign w:val="center"/>
          </w:tcPr>
          <w:p w:rsidR="00974B16" w:rsidRDefault="006F2386" w:rsidP="006F2386">
            <w:pPr>
              <w:pStyle w:val="NoSpacing"/>
              <w:jc w:val="center"/>
            </w:pPr>
            <w:r>
              <w:t>0.0</w:t>
            </w:r>
            <w:r w:rsidR="002B0AC0">
              <w:t>%</w:t>
            </w:r>
          </w:p>
        </w:tc>
        <w:tc>
          <w:tcPr>
            <w:tcW w:w="949" w:type="dxa"/>
            <w:shd w:val="clear" w:color="auto" w:fill="auto"/>
            <w:vAlign w:val="center"/>
          </w:tcPr>
          <w:p w:rsidR="00974B16" w:rsidRDefault="006F2386" w:rsidP="006F2386">
            <w:pPr>
              <w:pStyle w:val="NoSpacing"/>
              <w:jc w:val="center"/>
            </w:pPr>
            <w:r>
              <w:t>0.0</w:t>
            </w:r>
            <w:r w:rsidR="002B0AC0">
              <w:t>%</w:t>
            </w:r>
          </w:p>
        </w:tc>
        <w:tc>
          <w:tcPr>
            <w:tcW w:w="949" w:type="dxa"/>
            <w:vAlign w:val="center"/>
          </w:tcPr>
          <w:p w:rsidR="00974B16" w:rsidRDefault="006F2386" w:rsidP="006F2386">
            <w:pPr>
              <w:pStyle w:val="NoSpacing"/>
              <w:jc w:val="center"/>
            </w:pPr>
            <w:r>
              <w:t>3.9</w:t>
            </w:r>
            <w:r w:rsidR="002B0AC0">
              <w:t>%</w:t>
            </w:r>
          </w:p>
        </w:tc>
        <w:tc>
          <w:tcPr>
            <w:tcW w:w="949" w:type="dxa"/>
            <w:shd w:val="clear" w:color="auto" w:fill="auto"/>
            <w:vAlign w:val="center"/>
          </w:tcPr>
          <w:p w:rsidR="00974B16" w:rsidRDefault="006F2386" w:rsidP="006F2386">
            <w:pPr>
              <w:pStyle w:val="NoSpacing"/>
              <w:jc w:val="center"/>
            </w:pPr>
            <w:r>
              <w:t>0.0</w:t>
            </w:r>
            <w:r w:rsidR="002B0AC0">
              <w:t>%</w:t>
            </w:r>
          </w:p>
        </w:tc>
        <w:tc>
          <w:tcPr>
            <w:tcW w:w="949" w:type="dxa"/>
            <w:shd w:val="clear" w:color="auto" w:fill="auto"/>
            <w:vAlign w:val="center"/>
          </w:tcPr>
          <w:p w:rsidR="00974B16" w:rsidRDefault="006F2386" w:rsidP="006F2386">
            <w:pPr>
              <w:pStyle w:val="NoSpacing"/>
              <w:jc w:val="center"/>
            </w:pPr>
            <w:r>
              <w:t>0.0</w:t>
            </w:r>
            <w:r w:rsidR="002B0AC0">
              <w:t>%</w:t>
            </w:r>
          </w:p>
        </w:tc>
        <w:tc>
          <w:tcPr>
            <w:tcW w:w="949" w:type="dxa"/>
            <w:shd w:val="clear" w:color="auto" w:fill="auto"/>
            <w:vAlign w:val="center"/>
          </w:tcPr>
          <w:p w:rsidR="00974B16" w:rsidRDefault="00036DD8" w:rsidP="006F2386">
            <w:pPr>
              <w:pStyle w:val="NoSpacing"/>
              <w:jc w:val="center"/>
            </w:pPr>
            <w:r>
              <w:t>1.5</w:t>
            </w:r>
            <w:r w:rsidR="002B0AC0">
              <w:t>%</w:t>
            </w:r>
          </w:p>
        </w:tc>
        <w:tc>
          <w:tcPr>
            <w:tcW w:w="949" w:type="dxa"/>
            <w:shd w:val="clear" w:color="auto" w:fill="auto"/>
            <w:vAlign w:val="center"/>
          </w:tcPr>
          <w:p w:rsidR="00974B16" w:rsidRDefault="002B0AC0" w:rsidP="006F2386">
            <w:pPr>
              <w:pStyle w:val="NoSpacing"/>
              <w:jc w:val="center"/>
            </w:pPr>
            <w:r>
              <w:t>0.0%</w:t>
            </w:r>
          </w:p>
        </w:tc>
        <w:tc>
          <w:tcPr>
            <w:tcW w:w="950" w:type="dxa"/>
            <w:shd w:val="clear" w:color="auto" w:fill="auto"/>
            <w:vAlign w:val="center"/>
          </w:tcPr>
          <w:p w:rsidR="00974B16" w:rsidRDefault="002B0AC0" w:rsidP="006F2386">
            <w:pPr>
              <w:pStyle w:val="NoSpacing"/>
              <w:jc w:val="center"/>
            </w:pPr>
            <w:r>
              <w:t>0.0%</w:t>
            </w:r>
          </w:p>
        </w:tc>
      </w:tr>
      <w:tr w:rsidR="00974B16" w:rsidTr="002B0AC0">
        <w:tc>
          <w:tcPr>
            <w:tcW w:w="3348" w:type="dxa"/>
          </w:tcPr>
          <w:p w:rsidR="00974B16" w:rsidRDefault="00974B16" w:rsidP="0012386A">
            <w:pPr>
              <w:pStyle w:val="NoSpacing"/>
            </w:pPr>
            <w:r>
              <w:t>Saw ad in the phone book</w:t>
            </w:r>
          </w:p>
        </w:tc>
        <w:tc>
          <w:tcPr>
            <w:tcW w:w="949" w:type="dxa"/>
            <w:shd w:val="clear" w:color="auto" w:fill="auto"/>
            <w:vAlign w:val="center"/>
          </w:tcPr>
          <w:p w:rsidR="00974B16" w:rsidRDefault="006F2386" w:rsidP="006F2386">
            <w:pPr>
              <w:pStyle w:val="NoSpacing"/>
              <w:jc w:val="center"/>
            </w:pPr>
            <w:r>
              <w:t>1.1</w:t>
            </w:r>
            <w:r w:rsidR="002B0AC0">
              <w:t>%</w:t>
            </w:r>
          </w:p>
        </w:tc>
        <w:tc>
          <w:tcPr>
            <w:tcW w:w="949" w:type="dxa"/>
            <w:tcBorders>
              <w:bottom w:val="single" w:sz="4" w:space="0" w:color="000000" w:themeColor="text1"/>
            </w:tcBorders>
            <w:shd w:val="clear" w:color="auto" w:fill="auto"/>
            <w:vAlign w:val="center"/>
          </w:tcPr>
          <w:p w:rsidR="00974B16" w:rsidRDefault="006F2386" w:rsidP="006F2386">
            <w:pPr>
              <w:pStyle w:val="NoSpacing"/>
              <w:jc w:val="center"/>
            </w:pPr>
            <w:r>
              <w:t>0.0</w:t>
            </w:r>
            <w:r w:rsidR="002B0AC0">
              <w:t>%</w:t>
            </w:r>
          </w:p>
        </w:tc>
        <w:tc>
          <w:tcPr>
            <w:tcW w:w="949" w:type="dxa"/>
            <w:shd w:val="clear" w:color="auto" w:fill="auto"/>
            <w:vAlign w:val="center"/>
          </w:tcPr>
          <w:p w:rsidR="00974B16" w:rsidRDefault="006F2386" w:rsidP="006F2386">
            <w:pPr>
              <w:pStyle w:val="NoSpacing"/>
              <w:jc w:val="center"/>
            </w:pPr>
            <w:r>
              <w:t>0.0</w:t>
            </w:r>
            <w:r w:rsidR="002B0AC0">
              <w:t>%</w:t>
            </w:r>
          </w:p>
        </w:tc>
        <w:tc>
          <w:tcPr>
            <w:tcW w:w="949" w:type="dxa"/>
            <w:tcBorders>
              <w:bottom w:val="single" w:sz="4" w:space="0" w:color="000000" w:themeColor="text1"/>
            </w:tcBorders>
            <w:shd w:val="clear" w:color="auto" w:fill="auto"/>
            <w:vAlign w:val="center"/>
          </w:tcPr>
          <w:p w:rsidR="00974B16" w:rsidRDefault="006F2386" w:rsidP="006F2386">
            <w:pPr>
              <w:pStyle w:val="NoSpacing"/>
              <w:jc w:val="center"/>
            </w:pPr>
            <w:r>
              <w:t>0.0</w:t>
            </w:r>
            <w:r w:rsidR="002B0AC0">
              <w:t>%</w:t>
            </w:r>
          </w:p>
        </w:tc>
        <w:tc>
          <w:tcPr>
            <w:tcW w:w="949" w:type="dxa"/>
            <w:shd w:val="clear" w:color="auto" w:fill="auto"/>
            <w:vAlign w:val="center"/>
          </w:tcPr>
          <w:p w:rsidR="00974B16" w:rsidRDefault="006F2386" w:rsidP="006F2386">
            <w:pPr>
              <w:pStyle w:val="NoSpacing"/>
              <w:jc w:val="center"/>
            </w:pPr>
            <w:r>
              <w:t>0.0</w:t>
            </w:r>
            <w:r w:rsidR="002B0AC0">
              <w:t>%</w:t>
            </w:r>
          </w:p>
        </w:tc>
        <w:tc>
          <w:tcPr>
            <w:tcW w:w="949" w:type="dxa"/>
            <w:vAlign w:val="center"/>
          </w:tcPr>
          <w:p w:rsidR="00974B16" w:rsidRDefault="006F2386" w:rsidP="006F2386">
            <w:pPr>
              <w:pStyle w:val="NoSpacing"/>
              <w:jc w:val="center"/>
            </w:pPr>
            <w:r>
              <w:t>1.3</w:t>
            </w:r>
            <w:r w:rsidR="002B0AC0">
              <w:t>%</w:t>
            </w:r>
          </w:p>
        </w:tc>
        <w:tc>
          <w:tcPr>
            <w:tcW w:w="949" w:type="dxa"/>
            <w:shd w:val="clear" w:color="auto" w:fill="auto"/>
            <w:vAlign w:val="center"/>
          </w:tcPr>
          <w:p w:rsidR="00974B16" w:rsidRDefault="006F2386" w:rsidP="006F2386">
            <w:pPr>
              <w:pStyle w:val="NoSpacing"/>
              <w:jc w:val="center"/>
            </w:pPr>
            <w:r>
              <w:t>0.0</w:t>
            </w:r>
            <w:r w:rsidR="002B0AC0">
              <w:t>%</w:t>
            </w:r>
          </w:p>
        </w:tc>
        <w:tc>
          <w:tcPr>
            <w:tcW w:w="949" w:type="dxa"/>
            <w:shd w:val="clear" w:color="auto" w:fill="auto"/>
            <w:vAlign w:val="center"/>
          </w:tcPr>
          <w:p w:rsidR="00974B16" w:rsidRDefault="006F2386" w:rsidP="006F2386">
            <w:pPr>
              <w:pStyle w:val="NoSpacing"/>
              <w:jc w:val="center"/>
            </w:pPr>
            <w:r>
              <w:t>0.0</w:t>
            </w:r>
            <w:r w:rsidR="002B0AC0">
              <w:t>%</w:t>
            </w:r>
          </w:p>
        </w:tc>
        <w:tc>
          <w:tcPr>
            <w:tcW w:w="949" w:type="dxa"/>
            <w:shd w:val="clear" w:color="auto" w:fill="auto"/>
            <w:vAlign w:val="center"/>
          </w:tcPr>
          <w:p w:rsidR="00974B16" w:rsidRDefault="00036DD8" w:rsidP="006F2386">
            <w:pPr>
              <w:pStyle w:val="NoSpacing"/>
              <w:jc w:val="center"/>
            </w:pPr>
            <w:r>
              <w:t>0.0</w:t>
            </w:r>
            <w:r w:rsidR="002B0AC0">
              <w:t>%</w:t>
            </w:r>
          </w:p>
        </w:tc>
        <w:tc>
          <w:tcPr>
            <w:tcW w:w="949" w:type="dxa"/>
            <w:shd w:val="clear" w:color="auto" w:fill="auto"/>
            <w:vAlign w:val="center"/>
          </w:tcPr>
          <w:p w:rsidR="00974B16" w:rsidRDefault="002B0AC0" w:rsidP="006F2386">
            <w:pPr>
              <w:pStyle w:val="NoSpacing"/>
              <w:jc w:val="center"/>
            </w:pPr>
            <w:r>
              <w:t>0.0%</w:t>
            </w:r>
          </w:p>
        </w:tc>
        <w:tc>
          <w:tcPr>
            <w:tcW w:w="950" w:type="dxa"/>
            <w:shd w:val="clear" w:color="auto" w:fill="auto"/>
            <w:vAlign w:val="center"/>
          </w:tcPr>
          <w:p w:rsidR="00974B16" w:rsidRDefault="002B0AC0" w:rsidP="006F2386">
            <w:pPr>
              <w:pStyle w:val="NoSpacing"/>
              <w:jc w:val="center"/>
            </w:pPr>
            <w:r>
              <w:t>2.0%</w:t>
            </w:r>
          </w:p>
        </w:tc>
      </w:tr>
      <w:tr w:rsidR="00974B16" w:rsidTr="002B0AC0">
        <w:tc>
          <w:tcPr>
            <w:tcW w:w="3348" w:type="dxa"/>
          </w:tcPr>
          <w:p w:rsidR="00974B16" w:rsidRDefault="00974B16" w:rsidP="0012386A">
            <w:pPr>
              <w:pStyle w:val="NoSpacing"/>
            </w:pPr>
            <w:r>
              <w:t>Other</w:t>
            </w:r>
          </w:p>
        </w:tc>
        <w:tc>
          <w:tcPr>
            <w:tcW w:w="949" w:type="dxa"/>
            <w:shd w:val="clear" w:color="auto" w:fill="auto"/>
            <w:vAlign w:val="center"/>
          </w:tcPr>
          <w:p w:rsidR="00974B16" w:rsidRDefault="006F2386" w:rsidP="006F2386">
            <w:pPr>
              <w:pStyle w:val="NoSpacing"/>
              <w:jc w:val="center"/>
            </w:pPr>
            <w:r>
              <w:t>10.8</w:t>
            </w:r>
            <w:r w:rsidR="002B0AC0">
              <w:t>%</w:t>
            </w:r>
          </w:p>
        </w:tc>
        <w:tc>
          <w:tcPr>
            <w:tcW w:w="949" w:type="dxa"/>
            <w:shd w:val="clear" w:color="auto" w:fill="FDE9D9" w:themeFill="accent6" w:themeFillTint="33"/>
            <w:vAlign w:val="center"/>
          </w:tcPr>
          <w:p w:rsidR="00974B16" w:rsidRDefault="006F2386" w:rsidP="006F2386">
            <w:pPr>
              <w:pStyle w:val="NoSpacing"/>
              <w:jc w:val="center"/>
            </w:pPr>
            <w:r>
              <w:t>30.4</w:t>
            </w:r>
            <w:r w:rsidR="002B0AC0">
              <w:t>%</w:t>
            </w:r>
          </w:p>
        </w:tc>
        <w:tc>
          <w:tcPr>
            <w:tcW w:w="949" w:type="dxa"/>
            <w:shd w:val="clear" w:color="auto" w:fill="auto"/>
            <w:vAlign w:val="center"/>
          </w:tcPr>
          <w:p w:rsidR="00974B16" w:rsidRDefault="006F2386" w:rsidP="006F2386">
            <w:pPr>
              <w:pStyle w:val="NoSpacing"/>
              <w:jc w:val="center"/>
            </w:pPr>
            <w:r>
              <w:t>5.7</w:t>
            </w:r>
            <w:r w:rsidR="002B0AC0">
              <w:t>%</w:t>
            </w:r>
          </w:p>
        </w:tc>
        <w:tc>
          <w:tcPr>
            <w:tcW w:w="949" w:type="dxa"/>
            <w:shd w:val="clear" w:color="auto" w:fill="auto"/>
            <w:vAlign w:val="center"/>
          </w:tcPr>
          <w:p w:rsidR="00974B16" w:rsidRDefault="006F2386" w:rsidP="006F2386">
            <w:pPr>
              <w:pStyle w:val="NoSpacing"/>
              <w:jc w:val="center"/>
            </w:pPr>
            <w:r>
              <w:t>17.2</w:t>
            </w:r>
            <w:r w:rsidR="002B0AC0">
              <w:t>%</w:t>
            </w:r>
          </w:p>
        </w:tc>
        <w:tc>
          <w:tcPr>
            <w:tcW w:w="949" w:type="dxa"/>
            <w:shd w:val="clear" w:color="auto" w:fill="auto"/>
            <w:vAlign w:val="center"/>
          </w:tcPr>
          <w:p w:rsidR="00974B16" w:rsidRDefault="006F2386" w:rsidP="006F2386">
            <w:pPr>
              <w:pStyle w:val="NoSpacing"/>
              <w:jc w:val="center"/>
            </w:pPr>
            <w:r>
              <w:t>21.1</w:t>
            </w:r>
            <w:r w:rsidR="002B0AC0">
              <w:t>%</w:t>
            </w:r>
          </w:p>
        </w:tc>
        <w:tc>
          <w:tcPr>
            <w:tcW w:w="949" w:type="dxa"/>
            <w:vAlign w:val="center"/>
          </w:tcPr>
          <w:p w:rsidR="00974B16" w:rsidRDefault="006F2386" w:rsidP="006F2386">
            <w:pPr>
              <w:pStyle w:val="NoSpacing"/>
              <w:jc w:val="center"/>
            </w:pPr>
            <w:r>
              <w:t>13.2</w:t>
            </w:r>
            <w:r w:rsidR="002B0AC0">
              <w:t>%</w:t>
            </w:r>
          </w:p>
        </w:tc>
        <w:tc>
          <w:tcPr>
            <w:tcW w:w="949" w:type="dxa"/>
            <w:shd w:val="clear" w:color="auto" w:fill="auto"/>
            <w:vAlign w:val="center"/>
          </w:tcPr>
          <w:p w:rsidR="00974B16" w:rsidRDefault="006F2386" w:rsidP="006F2386">
            <w:pPr>
              <w:pStyle w:val="NoSpacing"/>
              <w:jc w:val="center"/>
            </w:pPr>
            <w:r>
              <w:t>0.0</w:t>
            </w:r>
            <w:r w:rsidR="002B0AC0">
              <w:t>%</w:t>
            </w:r>
          </w:p>
        </w:tc>
        <w:tc>
          <w:tcPr>
            <w:tcW w:w="949" w:type="dxa"/>
            <w:shd w:val="clear" w:color="auto" w:fill="auto"/>
            <w:vAlign w:val="center"/>
          </w:tcPr>
          <w:p w:rsidR="00974B16" w:rsidRDefault="006F2386" w:rsidP="006F2386">
            <w:pPr>
              <w:pStyle w:val="NoSpacing"/>
              <w:jc w:val="center"/>
            </w:pPr>
            <w:r>
              <w:t>5.5</w:t>
            </w:r>
            <w:r w:rsidR="002B0AC0">
              <w:t>%</w:t>
            </w:r>
          </w:p>
        </w:tc>
        <w:tc>
          <w:tcPr>
            <w:tcW w:w="949" w:type="dxa"/>
            <w:shd w:val="clear" w:color="auto" w:fill="auto"/>
            <w:vAlign w:val="center"/>
          </w:tcPr>
          <w:p w:rsidR="00974B16" w:rsidRDefault="00036DD8" w:rsidP="006F2386">
            <w:pPr>
              <w:pStyle w:val="NoSpacing"/>
              <w:jc w:val="center"/>
            </w:pPr>
            <w:r>
              <w:t>7.5</w:t>
            </w:r>
            <w:r w:rsidR="002B0AC0">
              <w:t>%</w:t>
            </w:r>
          </w:p>
        </w:tc>
        <w:tc>
          <w:tcPr>
            <w:tcW w:w="949" w:type="dxa"/>
            <w:shd w:val="clear" w:color="auto" w:fill="auto"/>
            <w:vAlign w:val="center"/>
          </w:tcPr>
          <w:p w:rsidR="00974B16" w:rsidRDefault="002B0AC0" w:rsidP="006F2386">
            <w:pPr>
              <w:pStyle w:val="NoSpacing"/>
              <w:jc w:val="center"/>
            </w:pPr>
            <w:r>
              <w:t>8.6%</w:t>
            </w:r>
          </w:p>
        </w:tc>
        <w:tc>
          <w:tcPr>
            <w:tcW w:w="950" w:type="dxa"/>
            <w:shd w:val="clear" w:color="auto" w:fill="auto"/>
            <w:vAlign w:val="center"/>
          </w:tcPr>
          <w:p w:rsidR="00974B16" w:rsidRDefault="002B0AC0" w:rsidP="006F2386">
            <w:pPr>
              <w:pStyle w:val="NoSpacing"/>
              <w:jc w:val="center"/>
            </w:pPr>
            <w:r>
              <w:t>10.2%</w:t>
            </w:r>
          </w:p>
        </w:tc>
      </w:tr>
    </w:tbl>
    <w:p w:rsidR="00886B2E" w:rsidRPr="00C8456E" w:rsidRDefault="00C8456E" w:rsidP="00C8456E">
      <w:pPr>
        <w:pStyle w:val="NoSpacing"/>
        <w:jc w:val="center"/>
        <w:rPr>
          <w:i/>
        </w:rPr>
      </w:pPr>
      <w:r w:rsidRPr="00C8456E">
        <w:rPr>
          <w:i/>
        </w:rPr>
        <w:t>* The highest response category for each clinical grouping is highlighted in orange.</w:t>
      </w:r>
    </w:p>
    <w:p w:rsidR="00C8456E" w:rsidRDefault="00C8456E" w:rsidP="00C8456E">
      <w:pPr>
        <w:pStyle w:val="NoSpacing"/>
        <w:jc w:val="center"/>
      </w:pPr>
    </w:p>
    <w:p w:rsidR="008944C9" w:rsidRDefault="008944C9" w:rsidP="008944C9">
      <w:r>
        <w:t xml:space="preserve">In </w:t>
      </w:r>
      <w:r w:rsidR="002B0AC0">
        <w:t>9</w:t>
      </w:r>
      <w:r>
        <w:t xml:space="preserve"> of the </w:t>
      </w:r>
      <w:r w:rsidR="00B05BF6">
        <w:t>10</w:t>
      </w:r>
      <w:r>
        <w:t xml:space="preserve"> clinical groupings, “referred by a friend or relative” </w:t>
      </w:r>
      <w:r w:rsidR="00D6089F">
        <w:t>wa</w:t>
      </w:r>
      <w:r>
        <w:t xml:space="preserve">s the most often cited method of learning about services at the UF College of Dentistry.  In contrast, patients who completed surveys in the </w:t>
      </w:r>
      <w:r w:rsidR="00B05BF6">
        <w:t>Oral Medicine</w:t>
      </w:r>
      <w:r w:rsidR="002B0AC0">
        <w:t xml:space="preserve"> and Orthodontics </w:t>
      </w:r>
      <w:r w:rsidR="00A55282">
        <w:t>clinic</w:t>
      </w:r>
      <w:r w:rsidR="001721BA">
        <w:t>s</w:t>
      </w:r>
      <w:r w:rsidR="00A55282">
        <w:t xml:space="preserve"> </w:t>
      </w:r>
      <w:r w:rsidR="00D6089F">
        <w:t>we</w:t>
      </w:r>
      <w:r>
        <w:t xml:space="preserve">re most likely to say that they were “referred by another health care provider.”  While </w:t>
      </w:r>
      <w:r w:rsidR="00C8456E">
        <w:t xml:space="preserve">few </w:t>
      </w:r>
      <w:r>
        <w:t xml:space="preserve">patients </w:t>
      </w:r>
      <w:r w:rsidR="00C8456E">
        <w:t>sa</w:t>
      </w:r>
      <w:r w:rsidR="00556F9B">
        <w:t>y</w:t>
      </w:r>
      <w:r w:rsidR="00C8456E">
        <w:t xml:space="preserve"> they learned about the services </w:t>
      </w:r>
      <w:r>
        <w:t>from the Colle</w:t>
      </w:r>
      <w:r w:rsidR="00A17279">
        <w:t>ge of Dentistry website, more than one-eighth (1</w:t>
      </w:r>
      <w:r w:rsidR="00B05BF6">
        <w:t>4.3</w:t>
      </w:r>
      <w:r w:rsidR="00A17279">
        <w:t xml:space="preserve">%) </w:t>
      </w:r>
      <w:r>
        <w:t xml:space="preserve">of the patents who </w:t>
      </w:r>
      <w:r w:rsidR="00C8456E">
        <w:t>completed surveys in</w:t>
      </w:r>
      <w:r>
        <w:t xml:space="preserve"> the </w:t>
      </w:r>
      <w:r w:rsidR="00A17279">
        <w:t xml:space="preserve">St. Pete </w:t>
      </w:r>
      <w:r>
        <w:t xml:space="preserve">clinic </w:t>
      </w:r>
      <w:r w:rsidR="00556F9B">
        <w:t>indicate</w:t>
      </w:r>
      <w:r w:rsidR="00D6089F">
        <w:t>d</w:t>
      </w:r>
      <w:r w:rsidR="00556F9B">
        <w:t xml:space="preserve"> that</w:t>
      </w:r>
      <w:r w:rsidR="00C8456E">
        <w:t xml:space="preserve"> they </w:t>
      </w:r>
      <w:r>
        <w:t>learn</w:t>
      </w:r>
      <w:r w:rsidR="00C8456E">
        <w:t>ed</w:t>
      </w:r>
      <w:r>
        <w:t xml:space="preserve"> about this clinic from the website. </w:t>
      </w:r>
    </w:p>
    <w:p w:rsidR="00473587" w:rsidRDefault="00473587" w:rsidP="00473587">
      <w:pPr>
        <w:pStyle w:val="NoSpacing"/>
      </w:pPr>
    </w:p>
    <w:p w:rsidR="00473587" w:rsidRDefault="00473587">
      <w:pPr>
        <w:spacing w:after="200" w:line="276" w:lineRule="auto"/>
      </w:pPr>
      <w:r>
        <w:br w:type="page"/>
      </w:r>
    </w:p>
    <w:p w:rsidR="00473587" w:rsidRDefault="00473587" w:rsidP="00165C1B">
      <w:pPr>
        <w:pStyle w:val="Heading2"/>
      </w:pPr>
      <w:bookmarkStart w:id="13" w:name="_Toc377727085"/>
      <w:r>
        <w:lastRenderedPageBreak/>
        <w:t>Length of Time as a Patient</w:t>
      </w:r>
      <w:bookmarkEnd w:id="13"/>
    </w:p>
    <w:p w:rsidR="00473587" w:rsidRDefault="00473587" w:rsidP="00473587">
      <w:pPr>
        <w:pStyle w:val="NoSpacing"/>
      </w:pPr>
    </w:p>
    <w:p w:rsidR="00473587" w:rsidRDefault="00473587" w:rsidP="00165C1B">
      <w:pPr>
        <w:pStyle w:val="NoSpacing"/>
        <w:jc w:val="center"/>
      </w:pPr>
      <w:r>
        <w:t>Patients were asked: “</w:t>
      </w:r>
      <w:r w:rsidRPr="00165C1B">
        <w:rPr>
          <w:i/>
        </w:rPr>
        <w:t>How long have you been a patient with us?</w:t>
      </w:r>
      <w:r>
        <w:t>”</w:t>
      </w:r>
    </w:p>
    <w:p w:rsidR="00473587" w:rsidRDefault="00473587" w:rsidP="00165C1B">
      <w:pPr>
        <w:pStyle w:val="NoSpacing"/>
        <w:jc w:val="center"/>
      </w:pPr>
    </w:p>
    <w:p w:rsidR="0056277A" w:rsidRDefault="00BE0C97" w:rsidP="00BE0C97">
      <w:pPr>
        <w:pStyle w:val="NoSpacing"/>
        <w:jc w:val="center"/>
      </w:pPr>
      <w:r w:rsidRPr="00BE0C97">
        <w:rPr>
          <w:noProof/>
        </w:rPr>
        <w:drawing>
          <wp:inline distT="0" distB="0" distL="0" distR="0">
            <wp:extent cx="8362950" cy="3962400"/>
            <wp:effectExtent l="0" t="0" r="19050" b="19050"/>
            <wp:docPr id="23"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221B8" w:rsidRDefault="009221B8">
      <w:pPr>
        <w:spacing w:after="200" w:line="276" w:lineRule="auto"/>
      </w:pPr>
    </w:p>
    <w:p w:rsidR="009221B8" w:rsidRDefault="009221B8" w:rsidP="009221B8">
      <w:pPr>
        <w:rPr>
          <w:rFonts w:ascii="Calibri" w:eastAsia="Calibri" w:hAnsi="Calibri" w:cs="Times New Roman"/>
        </w:rPr>
      </w:pPr>
      <w:r>
        <w:rPr>
          <w:rFonts w:ascii="Calibri" w:eastAsia="Calibri" w:hAnsi="Calibri" w:cs="Times New Roman"/>
        </w:rPr>
        <w:t xml:space="preserve">More than </w:t>
      </w:r>
      <w:r w:rsidR="003D3881">
        <w:rPr>
          <w:rFonts w:ascii="Calibri" w:eastAsia="Calibri" w:hAnsi="Calibri" w:cs="Times New Roman"/>
        </w:rPr>
        <w:t>one-half</w:t>
      </w:r>
      <w:r>
        <w:rPr>
          <w:rFonts w:ascii="Calibri" w:eastAsia="Calibri" w:hAnsi="Calibri" w:cs="Times New Roman"/>
        </w:rPr>
        <w:t xml:space="preserve"> of the patients who </w:t>
      </w:r>
      <w:r>
        <w:t>completed surveys in</w:t>
      </w:r>
      <w:r>
        <w:rPr>
          <w:rFonts w:ascii="Calibri" w:eastAsia="Calibri" w:hAnsi="Calibri" w:cs="Times New Roman"/>
        </w:rPr>
        <w:t xml:space="preserve"> the </w:t>
      </w:r>
      <w:r w:rsidR="00F95413">
        <w:rPr>
          <w:rFonts w:ascii="Calibri" w:eastAsia="Calibri" w:hAnsi="Calibri" w:cs="Times New Roman"/>
        </w:rPr>
        <w:t xml:space="preserve">Graduate </w:t>
      </w:r>
      <w:r>
        <w:rPr>
          <w:rFonts w:ascii="Calibri" w:eastAsia="Calibri" w:hAnsi="Calibri" w:cs="Times New Roman"/>
        </w:rPr>
        <w:t>Endodontics</w:t>
      </w:r>
      <w:r w:rsidR="003D3881">
        <w:rPr>
          <w:rFonts w:ascii="Calibri" w:eastAsia="Calibri" w:hAnsi="Calibri" w:cs="Times New Roman"/>
        </w:rPr>
        <w:t xml:space="preserve"> (</w:t>
      </w:r>
      <w:r w:rsidR="00F95413">
        <w:rPr>
          <w:rFonts w:ascii="Calibri" w:eastAsia="Calibri" w:hAnsi="Calibri" w:cs="Times New Roman"/>
        </w:rPr>
        <w:t>55.6</w:t>
      </w:r>
      <w:r w:rsidR="003D3881">
        <w:rPr>
          <w:rFonts w:ascii="Calibri" w:eastAsia="Calibri" w:hAnsi="Calibri" w:cs="Times New Roman"/>
        </w:rPr>
        <w:t>%)</w:t>
      </w:r>
      <w:r w:rsidR="00105833">
        <w:rPr>
          <w:rFonts w:ascii="Calibri" w:eastAsia="Calibri" w:hAnsi="Calibri" w:cs="Times New Roman"/>
        </w:rPr>
        <w:t xml:space="preserve"> and Hialeah (57.7%) </w:t>
      </w:r>
      <w:r>
        <w:rPr>
          <w:rFonts w:ascii="Calibri" w:eastAsia="Calibri" w:hAnsi="Calibri" w:cs="Times New Roman"/>
        </w:rPr>
        <w:t>clinics ha</w:t>
      </w:r>
      <w:r w:rsidR="00045D6D">
        <w:rPr>
          <w:rFonts w:ascii="Calibri" w:eastAsia="Calibri" w:hAnsi="Calibri" w:cs="Times New Roman"/>
        </w:rPr>
        <w:t>d</w:t>
      </w:r>
      <w:r w:rsidR="003D3881">
        <w:rPr>
          <w:rFonts w:ascii="Calibri" w:eastAsia="Calibri" w:hAnsi="Calibri" w:cs="Times New Roman"/>
        </w:rPr>
        <w:t xml:space="preserve"> been patients for less than six</w:t>
      </w:r>
      <w:r>
        <w:rPr>
          <w:rFonts w:ascii="Calibri" w:eastAsia="Calibri" w:hAnsi="Calibri" w:cs="Times New Roman"/>
        </w:rPr>
        <w:t xml:space="preserve"> months. </w:t>
      </w:r>
      <w:r w:rsidR="00556F9B">
        <w:rPr>
          <w:rFonts w:ascii="Calibri" w:eastAsia="Calibri" w:hAnsi="Calibri" w:cs="Times New Roman"/>
        </w:rPr>
        <w:t xml:space="preserve"> </w:t>
      </w:r>
      <w:r w:rsidR="00C81974">
        <w:rPr>
          <w:rFonts w:ascii="Calibri" w:eastAsia="Calibri" w:hAnsi="Calibri" w:cs="Times New Roman"/>
        </w:rPr>
        <w:t>Nearly one-</w:t>
      </w:r>
      <w:r w:rsidR="00045D6D">
        <w:rPr>
          <w:rFonts w:ascii="Calibri" w:eastAsia="Calibri" w:hAnsi="Calibri" w:cs="Times New Roman"/>
        </w:rPr>
        <w:t>half</w:t>
      </w:r>
      <w:r w:rsidR="00910452">
        <w:rPr>
          <w:rFonts w:ascii="Calibri" w:eastAsia="Calibri" w:hAnsi="Calibri" w:cs="Times New Roman"/>
        </w:rPr>
        <w:t xml:space="preserve"> (</w:t>
      </w:r>
      <w:r w:rsidR="00045D6D">
        <w:rPr>
          <w:rFonts w:ascii="Calibri" w:eastAsia="Calibri" w:hAnsi="Calibri" w:cs="Times New Roman"/>
        </w:rPr>
        <w:t>46.7</w:t>
      </w:r>
      <w:r w:rsidR="00910452">
        <w:rPr>
          <w:rFonts w:ascii="Calibri" w:eastAsia="Calibri" w:hAnsi="Calibri" w:cs="Times New Roman"/>
        </w:rPr>
        <w:t>%)</w:t>
      </w:r>
      <w:r>
        <w:rPr>
          <w:rFonts w:ascii="Calibri" w:eastAsia="Calibri" w:hAnsi="Calibri" w:cs="Times New Roman"/>
        </w:rPr>
        <w:t xml:space="preserve"> of the patients w</w:t>
      </w:r>
      <w:r>
        <w:t>ho</w:t>
      </w:r>
      <w:r>
        <w:rPr>
          <w:rFonts w:ascii="Calibri" w:eastAsia="Calibri" w:hAnsi="Calibri" w:cs="Times New Roman"/>
        </w:rPr>
        <w:t xml:space="preserve"> </w:t>
      </w:r>
      <w:r>
        <w:t>completed surveys in</w:t>
      </w:r>
      <w:r>
        <w:rPr>
          <w:rFonts w:ascii="Calibri" w:eastAsia="Calibri" w:hAnsi="Calibri" w:cs="Times New Roman"/>
        </w:rPr>
        <w:t xml:space="preserve"> the </w:t>
      </w:r>
      <w:r w:rsidR="00045D6D">
        <w:rPr>
          <w:rFonts w:ascii="Calibri" w:eastAsia="Calibri" w:hAnsi="Calibri" w:cs="Times New Roman"/>
        </w:rPr>
        <w:t>Graduate Periodontics</w:t>
      </w:r>
      <w:r>
        <w:rPr>
          <w:rFonts w:ascii="Calibri" w:eastAsia="Calibri" w:hAnsi="Calibri" w:cs="Times New Roman"/>
        </w:rPr>
        <w:t xml:space="preserve"> clinic</w:t>
      </w:r>
      <w:r w:rsidR="003D3881">
        <w:rPr>
          <w:rFonts w:ascii="Calibri" w:eastAsia="Calibri" w:hAnsi="Calibri" w:cs="Times New Roman"/>
        </w:rPr>
        <w:t xml:space="preserve"> </w:t>
      </w:r>
      <w:r>
        <w:rPr>
          <w:rFonts w:ascii="Calibri" w:eastAsia="Calibri" w:hAnsi="Calibri" w:cs="Times New Roman"/>
        </w:rPr>
        <w:t>ha</w:t>
      </w:r>
      <w:r w:rsidR="00045D6D">
        <w:rPr>
          <w:rFonts w:ascii="Calibri" w:eastAsia="Calibri" w:hAnsi="Calibri" w:cs="Times New Roman"/>
        </w:rPr>
        <w:t>d</w:t>
      </w:r>
      <w:r>
        <w:rPr>
          <w:rFonts w:ascii="Calibri" w:eastAsia="Calibri" w:hAnsi="Calibri" w:cs="Times New Roman"/>
        </w:rPr>
        <w:t xml:space="preserve"> been patients for more than 5 years.</w:t>
      </w:r>
    </w:p>
    <w:p w:rsidR="00525D03" w:rsidRDefault="00525D03">
      <w:pPr>
        <w:spacing w:after="200" w:line="276" w:lineRule="auto"/>
        <w:rPr>
          <w:rFonts w:asciiTheme="majorHAnsi" w:eastAsiaTheme="majorEastAsia" w:hAnsiTheme="majorHAnsi" w:cstheme="majorBidi"/>
          <w:b/>
          <w:bCs/>
          <w:color w:val="4F81BD" w:themeColor="accent1"/>
          <w:sz w:val="26"/>
          <w:szCs w:val="26"/>
        </w:rPr>
      </w:pPr>
      <w:r>
        <w:br w:type="page"/>
      </w:r>
    </w:p>
    <w:p w:rsidR="0056277A" w:rsidRDefault="00D434A8" w:rsidP="00525D03">
      <w:pPr>
        <w:pStyle w:val="Heading2"/>
      </w:pPr>
      <w:bookmarkStart w:id="14" w:name="_Toc377727086"/>
      <w:r>
        <w:lastRenderedPageBreak/>
        <w:t>Most Important Reason</w:t>
      </w:r>
      <w:r w:rsidR="0056277A">
        <w:t xml:space="preserve"> for Coming to UF College of Dentistry</w:t>
      </w:r>
      <w:bookmarkEnd w:id="14"/>
    </w:p>
    <w:p w:rsidR="00525D03" w:rsidRDefault="00525D03" w:rsidP="00525D03">
      <w:pPr>
        <w:pStyle w:val="NoSpacing"/>
        <w:jc w:val="center"/>
      </w:pPr>
    </w:p>
    <w:p w:rsidR="00252E09" w:rsidRDefault="0056277A" w:rsidP="00525D03">
      <w:pPr>
        <w:pStyle w:val="NoSpacing"/>
        <w:jc w:val="center"/>
      </w:pPr>
      <w:r>
        <w:t>Patients were asked: “</w:t>
      </w:r>
      <w:r w:rsidR="00494DBB">
        <w:rPr>
          <w:i/>
        </w:rPr>
        <w:t xml:space="preserve">Which is the most important reason you come </w:t>
      </w:r>
      <w:r w:rsidR="00494DBB" w:rsidRPr="00525D03">
        <w:rPr>
          <w:i/>
        </w:rPr>
        <w:t>to</w:t>
      </w:r>
      <w:r w:rsidRPr="00525D03">
        <w:rPr>
          <w:i/>
        </w:rPr>
        <w:t xml:space="preserve"> the UF College of Dentistry for your dental care?</w:t>
      </w:r>
      <w:r>
        <w:t xml:space="preserve">” </w:t>
      </w:r>
    </w:p>
    <w:p w:rsidR="0056277A" w:rsidRDefault="00525D03" w:rsidP="00525D03">
      <w:pPr>
        <w:pStyle w:val="NoSpacing"/>
        <w:jc w:val="center"/>
      </w:pPr>
      <w:r>
        <w:t>(</w:t>
      </w:r>
      <w:r w:rsidR="0056277A">
        <w:t xml:space="preserve">Respondents were asked to choose </w:t>
      </w:r>
      <w:r w:rsidR="00494DBB">
        <w:t>one</w:t>
      </w:r>
      <w:r w:rsidR="0056277A">
        <w:t xml:space="preserve"> </w:t>
      </w:r>
      <w:r w:rsidR="00494DBB">
        <w:t>response</w:t>
      </w:r>
      <w:r w:rsidR="0056277A">
        <w:t>.</w:t>
      </w:r>
      <w:r>
        <w:t>)</w:t>
      </w:r>
    </w:p>
    <w:p w:rsidR="0056277A" w:rsidRDefault="0056277A" w:rsidP="0056277A">
      <w:pPr>
        <w:pStyle w:val="NoSpacing"/>
      </w:pPr>
    </w:p>
    <w:p w:rsidR="0056277A" w:rsidRDefault="0056277A" w:rsidP="0056277A">
      <w:pPr>
        <w:pStyle w:val="NoSpacing"/>
        <w:jc w:val="center"/>
      </w:pPr>
      <w:r w:rsidRPr="0056277A">
        <w:rPr>
          <w:noProof/>
        </w:rPr>
        <w:drawing>
          <wp:inline distT="0" distB="0" distL="0" distR="0">
            <wp:extent cx="8505825" cy="4200525"/>
            <wp:effectExtent l="19050" t="0" r="9525" b="0"/>
            <wp:docPr id="1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05084" w:rsidRDefault="00705084" w:rsidP="00705084">
      <w:pPr>
        <w:pStyle w:val="NoSpacing"/>
      </w:pPr>
    </w:p>
    <w:p w:rsidR="0061515C" w:rsidRDefault="0061515C" w:rsidP="00705084">
      <w:pPr>
        <w:pStyle w:val="NoSpacing"/>
      </w:pPr>
    </w:p>
    <w:p w:rsidR="0061515C" w:rsidRDefault="0061515C" w:rsidP="00705084">
      <w:pPr>
        <w:pStyle w:val="NoSpacing"/>
      </w:pPr>
    </w:p>
    <w:p w:rsidR="0061515C" w:rsidRDefault="0061515C" w:rsidP="00705084">
      <w:pPr>
        <w:pStyle w:val="NoSpacing"/>
      </w:pPr>
    </w:p>
    <w:p w:rsidR="0061515C" w:rsidRDefault="0061515C" w:rsidP="00705084">
      <w:pPr>
        <w:pStyle w:val="NoSpacing"/>
      </w:pPr>
    </w:p>
    <w:p w:rsidR="0061515C" w:rsidRPr="0061515C" w:rsidRDefault="00D434A8" w:rsidP="0061515C">
      <w:pPr>
        <w:pStyle w:val="NoSpacing"/>
        <w:jc w:val="center"/>
        <w:rPr>
          <w:sz w:val="24"/>
          <w:szCs w:val="24"/>
        </w:rPr>
      </w:pPr>
      <w:r>
        <w:rPr>
          <w:sz w:val="24"/>
          <w:szCs w:val="24"/>
        </w:rPr>
        <w:lastRenderedPageBreak/>
        <w:t xml:space="preserve">Most Important </w:t>
      </w:r>
      <w:r w:rsidR="0061515C" w:rsidRPr="0061515C">
        <w:rPr>
          <w:sz w:val="24"/>
          <w:szCs w:val="24"/>
        </w:rPr>
        <w:t>Reason for Coming to UF College of Dentistry for Dental Care</w:t>
      </w:r>
    </w:p>
    <w:p w:rsidR="0061515C" w:rsidRDefault="0061515C" w:rsidP="00705084">
      <w:pPr>
        <w:pStyle w:val="NoSpacing"/>
      </w:pPr>
    </w:p>
    <w:tbl>
      <w:tblPr>
        <w:tblStyle w:val="TableGrid"/>
        <w:tblW w:w="13788" w:type="dxa"/>
        <w:tblLayout w:type="fixed"/>
        <w:tblLook w:val="04A0" w:firstRow="1" w:lastRow="0" w:firstColumn="1" w:lastColumn="0" w:noHBand="0" w:noVBand="1"/>
      </w:tblPr>
      <w:tblGrid>
        <w:gridCol w:w="2898"/>
        <w:gridCol w:w="990"/>
        <w:gridCol w:w="990"/>
        <w:gridCol w:w="990"/>
        <w:gridCol w:w="990"/>
        <w:gridCol w:w="990"/>
        <w:gridCol w:w="990"/>
        <w:gridCol w:w="990"/>
        <w:gridCol w:w="990"/>
        <w:gridCol w:w="990"/>
        <w:gridCol w:w="990"/>
        <w:gridCol w:w="990"/>
      </w:tblGrid>
      <w:tr w:rsidR="00974B16" w:rsidRPr="0012386A" w:rsidTr="00EB132F">
        <w:tc>
          <w:tcPr>
            <w:tcW w:w="2898" w:type="dxa"/>
            <w:shd w:val="clear" w:color="auto" w:fill="C6D9F1" w:themeFill="text2" w:themeFillTint="33"/>
          </w:tcPr>
          <w:p w:rsidR="00974B16" w:rsidRPr="0012386A" w:rsidRDefault="00974B16" w:rsidP="00675D57">
            <w:pPr>
              <w:pStyle w:val="NoSpacing"/>
              <w:jc w:val="center"/>
              <w:rPr>
                <w:b/>
              </w:rPr>
            </w:pPr>
          </w:p>
        </w:tc>
        <w:tc>
          <w:tcPr>
            <w:tcW w:w="990" w:type="dxa"/>
            <w:tcBorders>
              <w:bottom w:val="single" w:sz="4" w:space="0" w:color="000000" w:themeColor="text1"/>
            </w:tcBorders>
            <w:shd w:val="clear" w:color="auto" w:fill="C6D9F1" w:themeFill="text2" w:themeFillTint="33"/>
            <w:vAlign w:val="center"/>
          </w:tcPr>
          <w:p w:rsidR="00974B16" w:rsidRDefault="00974B16" w:rsidP="0049564F">
            <w:pPr>
              <w:pStyle w:val="NoSpacing"/>
              <w:jc w:val="center"/>
              <w:rPr>
                <w:b/>
              </w:rPr>
            </w:pPr>
            <w:r>
              <w:rPr>
                <w:b/>
              </w:rPr>
              <w:t>Student</w:t>
            </w:r>
          </w:p>
          <w:p w:rsidR="00974B16" w:rsidRPr="006C3F26" w:rsidRDefault="00974B16" w:rsidP="0049564F">
            <w:pPr>
              <w:pStyle w:val="NoSpacing"/>
              <w:jc w:val="center"/>
              <w:rPr>
                <w:b/>
              </w:rPr>
            </w:pPr>
            <w:r>
              <w:rPr>
                <w:b/>
              </w:rPr>
              <w:t>Clinics</w:t>
            </w:r>
          </w:p>
        </w:tc>
        <w:tc>
          <w:tcPr>
            <w:tcW w:w="990" w:type="dxa"/>
            <w:tcBorders>
              <w:bottom w:val="single" w:sz="4" w:space="0" w:color="000000" w:themeColor="text1"/>
            </w:tcBorders>
            <w:shd w:val="clear" w:color="auto" w:fill="C6D9F1" w:themeFill="text2" w:themeFillTint="33"/>
            <w:vAlign w:val="center"/>
          </w:tcPr>
          <w:p w:rsidR="00974B16" w:rsidRPr="006C3F26" w:rsidRDefault="00974B16" w:rsidP="0049564F">
            <w:pPr>
              <w:pStyle w:val="NoSpacing"/>
              <w:jc w:val="center"/>
              <w:rPr>
                <w:b/>
              </w:rPr>
            </w:pPr>
            <w:r>
              <w:rPr>
                <w:b/>
              </w:rPr>
              <w:t>FP</w:t>
            </w:r>
          </w:p>
        </w:tc>
        <w:tc>
          <w:tcPr>
            <w:tcW w:w="990" w:type="dxa"/>
            <w:tcBorders>
              <w:bottom w:val="single" w:sz="4" w:space="0" w:color="000000" w:themeColor="text1"/>
            </w:tcBorders>
            <w:shd w:val="clear" w:color="auto" w:fill="C6D9F1" w:themeFill="text2" w:themeFillTint="33"/>
            <w:vAlign w:val="center"/>
          </w:tcPr>
          <w:p w:rsidR="00974B16" w:rsidRPr="006C3F26" w:rsidRDefault="00974B16" w:rsidP="0049564F">
            <w:pPr>
              <w:pStyle w:val="NoSpacing"/>
              <w:jc w:val="center"/>
              <w:rPr>
                <w:b/>
              </w:rPr>
            </w:pPr>
            <w:r>
              <w:rPr>
                <w:b/>
              </w:rPr>
              <w:t>GE</w:t>
            </w:r>
          </w:p>
        </w:tc>
        <w:tc>
          <w:tcPr>
            <w:tcW w:w="990" w:type="dxa"/>
            <w:tcBorders>
              <w:bottom w:val="single" w:sz="4" w:space="0" w:color="000000" w:themeColor="text1"/>
            </w:tcBorders>
            <w:shd w:val="clear" w:color="auto" w:fill="C6D9F1" w:themeFill="text2" w:themeFillTint="33"/>
            <w:vAlign w:val="center"/>
          </w:tcPr>
          <w:p w:rsidR="00974B16" w:rsidRPr="006C3F26" w:rsidRDefault="00974B16" w:rsidP="0049564F">
            <w:pPr>
              <w:pStyle w:val="NoSpacing"/>
              <w:jc w:val="center"/>
              <w:rPr>
                <w:b/>
              </w:rPr>
            </w:pPr>
            <w:r>
              <w:rPr>
                <w:b/>
              </w:rPr>
              <w:t>GPE</w:t>
            </w:r>
          </w:p>
        </w:tc>
        <w:tc>
          <w:tcPr>
            <w:tcW w:w="990" w:type="dxa"/>
            <w:tcBorders>
              <w:bottom w:val="single" w:sz="4" w:space="0" w:color="000000" w:themeColor="text1"/>
            </w:tcBorders>
            <w:shd w:val="clear" w:color="auto" w:fill="C6D9F1" w:themeFill="text2" w:themeFillTint="33"/>
            <w:vAlign w:val="center"/>
          </w:tcPr>
          <w:p w:rsidR="00974B16" w:rsidRDefault="00974B16" w:rsidP="0049564F">
            <w:pPr>
              <w:pStyle w:val="NoSpacing"/>
              <w:jc w:val="center"/>
              <w:rPr>
                <w:b/>
              </w:rPr>
            </w:pPr>
            <w:r>
              <w:rPr>
                <w:b/>
              </w:rPr>
              <w:t>GPR</w:t>
            </w:r>
          </w:p>
        </w:tc>
        <w:tc>
          <w:tcPr>
            <w:tcW w:w="990" w:type="dxa"/>
            <w:tcBorders>
              <w:bottom w:val="single" w:sz="4" w:space="0" w:color="000000" w:themeColor="text1"/>
            </w:tcBorders>
            <w:shd w:val="clear" w:color="auto" w:fill="C6D9F1" w:themeFill="text2" w:themeFillTint="33"/>
            <w:vAlign w:val="center"/>
          </w:tcPr>
          <w:p w:rsidR="00974B16" w:rsidRDefault="00974B16" w:rsidP="00974B16">
            <w:pPr>
              <w:pStyle w:val="NoSpacing"/>
              <w:jc w:val="center"/>
              <w:rPr>
                <w:b/>
              </w:rPr>
            </w:pPr>
            <w:r>
              <w:rPr>
                <w:b/>
              </w:rPr>
              <w:t>Hialeah</w:t>
            </w:r>
          </w:p>
        </w:tc>
        <w:tc>
          <w:tcPr>
            <w:tcW w:w="990" w:type="dxa"/>
            <w:tcBorders>
              <w:bottom w:val="single" w:sz="4" w:space="0" w:color="000000" w:themeColor="text1"/>
            </w:tcBorders>
            <w:shd w:val="clear" w:color="auto" w:fill="C6D9F1" w:themeFill="text2" w:themeFillTint="33"/>
            <w:vAlign w:val="center"/>
          </w:tcPr>
          <w:p w:rsidR="00974B16" w:rsidRPr="006C3F26" w:rsidRDefault="00974B16" w:rsidP="0049564F">
            <w:pPr>
              <w:pStyle w:val="NoSpacing"/>
              <w:jc w:val="center"/>
              <w:rPr>
                <w:b/>
              </w:rPr>
            </w:pPr>
            <w:r>
              <w:rPr>
                <w:b/>
              </w:rPr>
              <w:t>OM</w:t>
            </w:r>
          </w:p>
        </w:tc>
        <w:tc>
          <w:tcPr>
            <w:tcW w:w="990" w:type="dxa"/>
            <w:tcBorders>
              <w:bottom w:val="single" w:sz="4" w:space="0" w:color="000000" w:themeColor="text1"/>
            </w:tcBorders>
            <w:shd w:val="clear" w:color="auto" w:fill="C6D9F1" w:themeFill="text2" w:themeFillTint="33"/>
            <w:vAlign w:val="center"/>
          </w:tcPr>
          <w:p w:rsidR="00974B16" w:rsidRPr="006C3F26" w:rsidRDefault="00974B16" w:rsidP="0049564F">
            <w:pPr>
              <w:pStyle w:val="NoSpacing"/>
              <w:jc w:val="center"/>
              <w:rPr>
                <w:b/>
              </w:rPr>
            </w:pPr>
            <w:r>
              <w:rPr>
                <w:b/>
              </w:rPr>
              <w:t>OR</w:t>
            </w:r>
          </w:p>
        </w:tc>
        <w:tc>
          <w:tcPr>
            <w:tcW w:w="990" w:type="dxa"/>
            <w:tcBorders>
              <w:bottom w:val="single" w:sz="4" w:space="0" w:color="000000" w:themeColor="text1"/>
            </w:tcBorders>
            <w:shd w:val="clear" w:color="auto" w:fill="C6D9F1" w:themeFill="text2" w:themeFillTint="33"/>
            <w:vAlign w:val="center"/>
          </w:tcPr>
          <w:p w:rsidR="00974B16" w:rsidRDefault="00974B16" w:rsidP="0049564F">
            <w:pPr>
              <w:pStyle w:val="NoSpacing"/>
              <w:jc w:val="center"/>
              <w:rPr>
                <w:b/>
              </w:rPr>
            </w:pPr>
            <w:r>
              <w:rPr>
                <w:b/>
              </w:rPr>
              <w:t>OS</w:t>
            </w:r>
          </w:p>
        </w:tc>
        <w:tc>
          <w:tcPr>
            <w:tcW w:w="990" w:type="dxa"/>
            <w:tcBorders>
              <w:bottom w:val="single" w:sz="4" w:space="0" w:color="000000" w:themeColor="text1"/>
            </w:tcBorders>
            <w:shd w:val="clear" w:color="auto" w:fill="C6D9F1" w:themeFill="text2" w:themeFillTint="33"/>
            <w:vAlign w:val="center"/>
          </w:tcPr>
          <w:p w:rsidR="00974B16" w:rsidRDefault="00974B16" w:rsidP="0049564F">
            <w:pPr>
              <w:pStyle w:val="NoSpacing"/>
              <w:jc w:val="center"/>
              <w:rPr>
                <w:b/>
              </w:rPr>
            </w:pPr>
            <w:r>
              <w:rPr>
                <w:b/>
              </w:rPr>
              <w:t>PD</w:t>
            </w:r>
          </w:p>
        </w:tc>
        <w:tc>
          <w:tcPr>
            <w:tcW w:w="990" w:type="dxa"/>
            <w:tcBorders>
              <w:bottom w:val="single" w:sz="4" w:space="0" w:color="000000" w:themeColor="text1"/>
            </w:tcBorders>
            <w:shd w:val="clear" w:color="auto" w:fill="C6D9F1" w:themeFill="text2" w:themeFillTint="33"/>
            <w:vAlign w:val="center"/>
          </w:tcPr>
          <w:p w:rsidR="00974B16" w:rsidRPr="0012386A" w:rsidRDefault="00974B16" w:rsidP="0049564F">
            <w:pPr>
              <w:pStyle w:val="NoSpacing"/>
              <w:jc w:val="center"/>
              <w:rPr>
                <w:b/>
              </w:rPr>
            </w:pPr>
            <w:r>
              <w:rPr>
                <w:b/>
              </w:rPr>
              <w:t>SP</w:t>
            </w:r>
          </w:p>
        </w:tc>
      </w:tr>
      <w:tr w:rsidR="00974B16" w:rsidTr="00EB132F">
        <w:tc>
          <w:tcPr>
            <w:tcW w:w="2898" w:type="dxa"/>
          </w:tcPr>
          <w:p w:rsidR="00974B16" w:rsidRDefault="00974B16" w:rsidP="00675D57">
            <w:pPr>
              <w:pStyle w:val="NoSpacing"/>
            </w:pPr>
            <w:r>
              <w:t>I trust the UF College of Dentistry</w:t>
            </w:r>
          </w:p>
        </w:tc>
        <w:tc>
          <w:tcPr>
            <w:tcW w:w="990" w:type="dxa"/>
            <w:tcBorders>
              <w:bottom w:val="single" w:sz="4" w:space="0" w:color="000000" w:themeColor="text1"/>
            </w:tcBorders>
            <w:shd w:val="clear" w:color="auto" w:fill="auto"/>
            <w:vAlign w:val="center"/>
          </w:tcPr>
          <w:p w:rsidR="00974B16" w:rsidRDefault="00F26312" w:rsidP="00004BAE">
            <w:pPr>
              <w:pStyle w:val="NoSpacing"/>
              <w:jc w:val="center"/>
            </w:pPr>
            <w:r>
              <w:t>21.8%</w:t>
            </w:r>
          </w:p>
        </w:tc>
        <w:tc>
          <w:tcPr>
            <w:tcW w:w="990" w:type="dxa"/>
            <w:shd w:val="clear" w:color="auto" w:fill="FDE9D9" w:themeFill="accent6" w:themeFillTint="33"/>
            <w:vAlign w:val="center"/>
          </w:tcPr>
          <w:p w:rsidR="00974B16" w:rsidRDefault="00F26312" w:rsidP="00004BAE">
            <w:pPr>
              <w:pStyle w:val="NoSpacing"/>
              <w:jc w:val="center"/>
            </w:pPr>
            <w:r>
              <w:t>38.9%</w:t>
            </w:r>
          </w:p>
        </w:tc>
        <w:tc>
          <w:tcPr>
            <w:tcW w:w="990" w:type="dxa"/>
            <w:shd w:val="clear" w:color="auto" w:fill="auto"/>
            <w:vAlign w:val="center"/>
          </w:tcPr>
          <w:p w:rsidR="00974B16" w:rsidRDefault="00F26312" w:rsidP="00004BAE">
            <w:pPr>
              <w:pStyle w:val="NoSpacing"/>
              <w:jc w:val="center"/>
            </w:pPr>
            <w:r>
              <w:t>25.0%</w:t>
            </w:r>
          </w:p>
        </w:tc>
        <w:tc>
          <w:tcPr>
            <w:tcW w:w="990" w:type="dxa"/>
            <w:tcBorders>
              <w:bottom w:val="single" w:sz="4" w:space="0" w:color="000000" w:themeColor="text1"/>
            </w:tcBorders>
            <w:shd w:val="clear" w:color="auto" w:fill="FDE9D9" w:themeFill="accent6" w:themeFillTint="33"/>
            <w:vAlign w:val="center"/>
          </w:tcPr>
          <w:p w:rsidR="00974B16" w:rsidRDefault="00F26312" w:rsidP="00004BAE">
            <w:pPr>
              <w:pStyle w:val="NoSpacing"/>
              <w:jc w:val="center"/>
            </w:pPr>
            <w:r>
              <w:t>68.8%</w:t>
            </w:r>
          </w:p>
        </w:tc>
        <w:tc>
          <w:tcPr>
            <w:tcW w:w="990" w:type="dxa"/>
            <w:tcBorders>
              <w:bottom w:val="single" w:sz="4" w:space="0" w:color="000000" w:themeColor="text1"/>
            </w:tcBorders>
            <w:shd w:val="clear" w:color="auto" w:fill="auto"/>
            <w:vAlign w:val="center"/>
          </w:tcPr>
          <w:p w:rsidR="00974B16" w:rsidRDefault="00F26312" w:rsidP="00004BAE">
            <w:pPr>
              <w:pStyle w:val="NoSpacing"/>
              <w:jc w:val="center"/>
            </w:pPr>
            <w:r>
              <w:t>21.4%</w:t>
            </w:r>
          </w:p>
        </w:tc>
        <w:tc>
          <w:tcPr>
            <w:tcW w:w="990" w:type="dxa"/>
            <w:tcBorders>
              <w:bottom w:val="single" w:sz="4" w:space="0" w:color="000000" w:themeColor="text1"/>
            </w:tcBorders>
            <w:shd w:val="clear" w:color="auto" w:fill="FDE9D9" w:themeFill="accent6" w:themeFillTint="33"/>
            <w:vAlign w:val="center"/>
          </w:tcPr>
          <w:p w:rsidR="00974B16" w:rsidRDefault="00F26312" w:rsidP="00004BAE">
            <w:pPr>
              <w:pStyle w:val="NoSpacing"/>
              <w:jc w:val="center"/>
            </w:pPr>
            <w:r>
              <w:t>25.5%</w:t>
            </w:r>
          </w:p>
        </w:tc>
        <w:tc>
          <w:tcPr>
            <w:tcW w:w="990" w:type="dxa"/>
            <w:tcBorders>
              <w:bottom w:val="single" w:sz="4" w:space="0" w:color="000000" w:themeColor="text1"/>
            </w:tcBorders>
            <w:shd w:val="clear" w:color="auto" w:fill="auto"/>
            <w:vAlign w:val="center"/>
          </w:tcPr>
          <w:p w:rsidR="00974B16" w:rsidRDefault="00F26312" w:rsidP="00004BAE">
            <w:pPr>
              <w:pStyle w:val="NoSpacing"/>
              <w:jc w:val="center"/>
            </w:pPr>
            <w:r>
              <w:t>6.3%</w:t>
            </w:r>
          </w:p>
        </w:tc>
        <w:tc>
          <w:tcPr>
            <w:tcW w:w="990" w:type="dxa"/>
            <w:tcBorders>
              <w:bottom w:val="single" w:sz="4" w:space="0" w:color="000000" w:themeColor="text1"/>
            </w:tcBorders>
            <w:shd w:val="clear" w:color="auto" w:fill="auto"/>
            <w:vAlign w:val="center"/>
          </w:tcPr>
          <w:p w:rsidR="00974B16" w:rsidRDefault="00F26312" w:rsidP="00004BAE">
            <w:pPr>
              <w:pStyle w:val="NoSpacing"/>
              <w:jc w:val="center"/>
            </w:pPr>
            <w:r>
              <w:t>18.6%</w:t>
            </w:r>
          </w:p>
        </w:tc>
        <w:tc>
          <w:tcPr>
            <w:tcW w:w="990" w:type="dxa"/>
            <w:shd w:val="clear" w:color="auto" w:fill="FDE9D9" w:themeFill="accent6" w:themeFillTint="33"/>
            <w:vAlign w:val="center"/>
          </w:tcPr>
          <w:p w:rsidR="00974B16" w:rsidRDefault="00EB132F" w:rsidP="00004BAE">
            <w:pPr>
              <w:pStyle w:val="NoSpacing"/>
              <w:jc w:val="center"/>
            </w:pPr>
            <w:r>
              <w:t>24.1%</w:t>
            </w:r>
          </w:p>
        </w:tc>
        <w:tc>
          <w:tcPr>
            <w:tcW w:w="990" w:type="dxa"/>
            <w:shd w:val="clear" w:color="auto" w:fill="FDE9D9" w:themeFill="accent6" w:themeFillTint="33"/>
            <w:vAlign w:val="center"/>
          </w:tcPr>
          <w:p w:rsidR="00974B16" w:rsidRDefault="00F26312" w:rsidP="00004BAE">
            <w:pPr>
              <w:pStyle w:val="NoSpacing"/>
              <w:jc w:val="center"/>
            </w:pPr>
            <w:r>
              <w:t>44.4%</w:t>
            </w:r>
          </w:p>
        </w:tc>
        <w:tc>
          <w:tcPr>
            <w:tcW w:w="990" w:type="dxa"/>
            <w:tcBorders>
              <w:bottom w:val="single" w:sz="4" w:space="0" w:color="000000" w:themeColor="text1"/>
            </w:tcBorders>
            <w:shd w:val="clear" w:color="auto" w:fill="auto"/>
            <w:vAlign w:val="center"/>
          </w:tcPr>
          <w:p w:rsidR="00974B16" w:rsidRDefault="00F26312" w:rsidP="00004BAE">
            <w:pPr>
              <w:pStyle w:val="NoSpacing"/>
              <w:jc w:val="center"/>
            </w:pPr>
            <w:r>
              <w:t>21.1%</w:t>
            </w:r>
          </w:p>
        </w:tc>
      </w:tr>
      <w:tr w:rsidR="00974B16" w:rsidTr="00F06F10">
        <w:tc>
          <w:tcPr>
            <w:tcW w:w="2898" w:type="dxa"/>
          </w:tcPr>
          <w:p w:rsidR="00974B16" w:rsidRDefault="00974B16" w:rsidP="00675D57">
            <w:pPr>
              <w:pStyle w:val="NoSpacing"/>
            </w:pPr>
            <w:r>
              <w:t>Cost is less expensive than a private dentist</w:t>
            </w:r>
          </w:p>
        </w:tc>
        <w:tc>
          <w:tcPr>
            <w:tcW w:w="990" w:type="dxa"/>
            <w:shd w:val="clear" w:color="auto" w:fill="FDE9D9" w:themeFill="accent6" w:themeFillTint="33"/>
            <w:vAlign w:val="center"/>
          </w:tcPr>
          <w:p w:rsidR="00974B16" w:rsidRDefault="00F26312" w:rsidP="00004BAE">
            <w:pPr>
              <w:pStyle w:val="NoSpacing"/>
              <w:jc w:val="center"/>
            </w:pPr>
            <w:r>
              <w:t>40.5%</w:t>
            </w:r>
          </w:p>
        </w:tc>
        <w:tc>
          <w:tcPr>
            <w:tcW w:w="990" w:type="dxa"/>
            <w:shd w:val="clear" w:color="auto" w:fill="auto"/>
            <w:vAlign w:val="center"/>
          </w:tcPr>
          <w:p w:rsidR="00974B16" w:rsidRDefault="00F26312" w:rsidP="00004BAE">
            <w:pPr>
              <w:pStyle w:val="NoSpacing"/>
              <w:jc w:val="center"/>
            </w:pPr>
            <w:r>
              <w:t>16.7%</w:t>
            </w:r>
          </w:p>
        </w:tc>
        <w:tc>
          <w:tcPr>
            <w:tcW w:w="990" w:type="dxa"/>
            <w:shd w:val="clear" w:color="auto" w:fill="auto"/>
            <w:vAlign w:val="center"/>
          </w:tcPr>
          <w:p w:rsidR="00974B16" w:rsidRDefault="00F26312" w:rsidP="00004BAE">
            <w:pPr>
              <w:pStyle w:val="NoSpacing"/>
              <w:jc w:val="center"/>
            </w:pPr>
            <w:r>
              <w:t>27.3%</w:t>
            </w:r>
          </w:p>
        </w:tc>
        <w:tc>
          <w:tcPr>
            <w:tcW w:w="990" w:type="dxa"/>
            <w:shd w:val="clear" w:color="auto" w:fill="auto"/>
            <w:vAlign w:val="center"/>
          </w:tcPr>
          <w:p w:rsidR="00974B16" w:rsidRDefault="00F26312" w:rsidP="00004BAE">
            <w:pPr>
              <w:pStyle w:val="NoSpacing"/>
              <w:jc w:val="center"/>
            </w:pPr>
            <w:r>
              <w:t>12.5%</w:t>
            </w:r>
          </w:p>
        </w:tc>
        <w:tc>
          <w:tcPr>
            <w:tcW w:w="990" w:type="dxa"/>
            <w:tcBorders>
              <w:bottom w:val="single" w:sz="4" w:space="0" w:color="000000" w:themeColor="text1"/>
            </w:tcBorders>
            <w:shd w:val="clear" w:color="auto" w:fill="FDE9D9" w:themeFill="accent6" w:themeFillTint="33"/>
            <w:vAlign w:val="center"/>
          </w:tcPr>
          <w:p w:rsidR="00974B16" w:rsidRDefault="00F26312" w:rsidP="00004BAE">
            <w:pPr>
              <w:pStyle w:val="NoSpacing"/>
              <w:jc w:val="center"/>
            </w:pPr>
            <w:r>
              <w:t>32.1%</w:t>
            </w:r>
          </w:p>
        </w:tc>
        <w:tc>
          <w:tcPr>
            <w:tcW w:w="990" w:type="dxa"/>
            <w:shd w:val="clear" w:color="auto" w:fill="auto"/>
            <w:vAlign w:val="center"/>
          </w:tcPr>
          <w:p w:rsidR="00974B16" w:rsidRDefault="00F26312" w:rsidP="00004BAE">
            <w:pPr>
              <w:pStyle w:val="NoSpacing"/>
              <w:jc w:val="center"/>
            </w:pPr>
            <w:r>
              <w:t>20.0%</w:t>
            </w:r>
          </w:p>
        </w:tc>
        <w:tc>
          <w:tcPr>
            <w:tcW w:w="990" w:type="dxa"/>
            <w:shd w:val="clear" w:color="auto" w:fill="auto"/>
            <w:vAlign w:val="center"/>
          </w:tcPr>
          <w:p w:rsidR="00974B16" w:rsidRDefault="00F26312" w:rsidP="00004BAE">
            <w:pPr>
              <w:pStyle w:val="NoSpacing"/>
              <w:jc w:val="center"/>
            </w:pPr>
            <w:r>
              <w:t>0.0%</w:t>
            </w:r>
          </w:p>
        </w:tc>
        <w:tc>
          <w:tcPr>
            <w:tcW w:w="990" w:type="dxa"/>
            <w:shd w:val="clear" w:color="auto" w:fill="auto"/>
            <w:vAlign w:val="center"/>
          </w:tcPr>
          <w:p w:rsidR="00974B16" w:rsidRDefault="00F26312" w:rsidP="00004BAE">
            <w:pPr>
              <w:pStyle w:val="NoSpacing"/>
              <w:jc w:val="center"/>
            </w:pPr>
            <w:r>
              <w:t>16.3%</w:t>
            </w:r>
          </w:p>
        </w:tc>
        <w:tc>
          <w:tcPr>
            <w:tcW w:w="990" w:type="dxa"/>
            <w:tcBorders>
              <w:bottom w:val="single" w:sz="4" w:space="0" w:color="000000" w:themeColor="text1"/>
            </w:tcBorders>
            <w:shd w:val="clear" w:color="auto" w:fill="auto"/>
            <w:vAlign w:val="center"/>
          </w:tcPr>
          <w:p w:rsidR="00974B16" w:rsidRDefault="00EB132F" w:rsidP="00004BAE">
            <w:pPr>
              <w:pStyle w:val="NoSpacing"/>
              <w:jc w:val="center"/>
            </w:pPr>
            <w:r>
              <w:t>20.4%</w:t>
            </w:r>
          </w:p>
        </w:tc>
        <w:tc>
          <w:tcPr>
            <w:tcW w:w="990" w:type="dxa"/>
            <w:shd w:val="clear" w:color="auto" w:fill="auto"/>
            <w:vAlign w:val="center"/>
          </w:tcPr>
          <w:p w:rsidR="00974B16" w:rsidRDefault="00F26312" w:rsidP="00004BAE">
            <w:pPr>
              <w:pStyle w:val="NoSpacing"/>
              <w:jc w:val="center"/>
            </w:pPr>
            <w:r>
              <w:t>11.1%</w:t>
            </w:r>
          </w:p>
        </w:tc>
        <w:tc>
          <w:tcPr>
            <w:tcW w:w="990" w:type="dxa"/>
            <w:shd w:val="clear" w:color="auto" w:fill="FDE9D9" w:themeFill="accent6" w:themeFillTint="33"/>
            <w:vAlign w:val="center"/>
          </w:tcPr>
          <w:p w:rsidR="00974B16" w:rsidRDefault="00F26312" w:rsidP="00004BAE">
            <w:pPr>
              <w:pStyle w:val="NoSpacing"/>
              <w:jc w:val="center"/>
            </w:pPr>
            <w:r>
              <w:t>39.5%</w:t>
            </w:r>
          </w:p>
        </w:tc>
      </w:tr>
      <w:tr w:rsidR="00974B16" w:rsidTr="00F06F10">
        <w:tc>
          <w:tcPr>
            <w:tcW w:w="2898" w:type="dxa"/>
          </w:tcPr>
          <w:p w:rsidR="00974B16" w:rsidRDefault="00974B16" w:rsidP="00675D57">
            <w:pPr>
              <w:pStyle w:val="NoSpacing"/>
            </w:pPr>
            <w:r>
              <w:t>It is convenient for me to come here</w:t>
            </w:r>
          </w:p>
        </w:tc>
        <w:tc>
          <w:tcPr>
            <w:tcW w:w="990" w:type="dxa"/>
            <w:shd w:val="clear" w:color="auto" w:fill="auto"/>
            <w:vAlign w:val="center"/>
          </w:tcPr>
          <w:p w:rsidR="00974B16" w:rsidRDefault="00F26312" w:rsidP="00004BAE">
            <w:pPr>
              <w:pStyle w:val="NoSpacing"/>
              <w:jc w:val="center"/>
            </w:pPr>
            <w:r>
              <w:t>2.2%</w:t>
            </w:r>
          </w:p>
        </w:tc>
        <w:tc>
          <w:tcPr>
            <w:tcW w:w="990" w:type="dxa"/>
            <w:shd w:val="clear" w:color="auto" w:fill="auto"/>
            <w:vAlign w:val="center"/>
          </w:tcPr>
          <w:p w:rsidR="00974B16" w:rsidRDefault="00F26312" w:rsidP="00004BAE">
            <w:pPr>
              <w:pStyle w:val="NoSpacing"/>
              <w:jc w:val="center"/>
            </w:pPr>
            <w:r>
              <w:t>16.7%</w:t>
            </w:r>
          </w:p>
        </w:tc>
        <w:tc>
          <w:tcPr>
            <w:tcW w:w="990" w:type="dxa"/>
            <w:shd w:val="clear" w:color="auto" w:fill="auto"/>
            <w:vAlign w:val="center"/>
          </w:tcPr>
          <w:p w:rsidR="00974B16" w:rsidRDefault="00F26312" w:rsidP="00004BAE">
            <w:pPr>
              <w:pStyle w:val="NoSpacing"/>
              <w:jc w:val="center"/>
            </w:pPr>
            <w:r>
              <w:t>4.5%</w:t>
            </w:r>
          </w:p>
        </w:tc>
        <w:tc>
          <w:tcPr>
            <w:tcW w:w="990" w:type="dxa"/>
            <w:shd w:val="clear" w:color="auto" w:fill="auto"/>
            <w:vAlign w:val="center"/>
          </w:tcPr>
          <w:p w:rsidR="00974B16" w:rsidRDefault="00F26312" w:rsidP="00004BAE">
            <w:pPr>
              <w:pStyle w:val="NoSpacing"/>
              <w:jc w:val="center"/>
            </w:pPr>
            <w:r>
              <w:t>0.0%</w:t>
            </w:r>
          </w:p>
        </w:tc>
        <w:tc>
          <w:tcPr>
            <w:tcW w:w="990" w:type="dxa"/>
            <w:shd w:val="clear" w:color="auto" w:fill="auto"/>
            <w:vAlign w:val="center"/>
          </w:tcPr>
          <w:p w:rsidR="00974B16" w:rsidRDefault="00F26312" w:rsidP="00004BAE">
            <w:pPr>
              <w:pStyle w:val="NoSpacing"/>
              <w:jc w:val="center"/>
            </w:pPr>
            <w:r>
              <w:t>7.1%</w:t>
            </w:r>
          </w:p>
        </w:tc>
        <w:tc>
          <w:tcPr>
            <w:tcW w:w="990" w:type="dxa"/>
            <w:tcBorders>
              <w:bottom w:val="single" w:sz="4" w:space="0" w:color="000000" w:themeColor="text1"/>
            </w:tcBorders>
            <w:shd w:val="clear" w:color="auto" w:fill="auto"/>
            <w:vAlign w:val="center"/>
          </w:tcPr>
          <w:p w:rsidR="00974B16" w:rsidRDefault="00F26312" w:rsidP="00004BAE">
            <w:pPr>
              <w:pStyle w:val="NoSpacing"/>
              <w:jc w:val="center"/>
            </w:pPr>
            <w:r>
              <w:t>5.5%</w:t>
            </w:r>
          </w:p>
        </w:tc>
        <w:tc>
          <w:tcPr>
            <w:tcW w:w="990" w:type="dxa"/>
            <w:shd w:val="clear" w:color="auto" w:fill="auto"/>
            <w:vAlign w:val="center"/>
          </w:tcPr>
          <w:p w:rsidR="00974B16" w:rsidRDefault="00F26312" w:rsidP="00004BAE">
            <w:pPr>
              <w:pStyle w:val="NoSpacing"/>
              <w:jc w:val="center"/>
            </w:pPr>
            <w:r>
              <w:t>0.0%</w:t>
            </w:r>
          </w:p>
        </w:tc>
        <w:tc>
          <w:tcPr>
            <w:tcW w:w="990" w:type="dxa"/>
            <w:shd w:val="clear" w:color="auto" w:fill="auto"/>
            <w:vAlign w:val="center"/>
          </w:tcPr>
          <w:p w:rsidR="00974B16" w:rsidRDefault="00F26312" w:rsidP="00004BAE">
            <w:pPr>
              <w:pStyle w:val="NoSpacing"/>
              <w:jc w:val="center"/>
            </w:pPr>
            <w:r>
              <w:t>0.0%</w:t>
            </w:r>
          </w:p>
        </w:tc>
        <w:tc>
          <w:tcPr>
            <w:tcW w:w="990" w:type="dxa"/>
            <w:shd w:val="clear" w:color="auto" w:fill="auto"/>
            <w:vAlign w:val="center"/>
          </w:tcPr>
          <w:p w:rsidR="00974B16" w:rsidRDefault="00EB132F" w:rsidP="00004BAE">
            <w:pPr>
              <w:pStyle w:val="NoSpacing"/>
              <w:jc w:val="center"/>
            </w:pPr>
            <w:r>
              <w:t>3.7%</w:t>
            </w:r>
          </w:p>
        </w:tc>
        <w:tc>
          <w:tcPr>
            <w:tcW w:w="990" w:type="dxa"/>
            <w:shd w:val="clear" w:color="auto" w:fill="auto"/>
            <w:vAlign w:val="center"/>
          </w:tcPr>
          <w:p w:rsidR="00974B16" w:rsidRDefault="00F26312" w:rsidP="00004BAE">
            <w:pPr>
              <w:pStyle w:val="NoSpacing"/>
              <w:jc w:val="center"/>
            </w:pPr>
            <w:r>
              <w:t>0.0%</w:t>
            </w:r>
          </w:p>
        </w:tc>
        <w:tc>
          <w:tcPr>
            <w:tcW w:w="990" w:type="dxa"/>
            <w:shd w:val="clear" w:color="auto" w:fill="auto"/>
            <w:vAlign w:val="center"/>
          </w:tcPr>
          <w:p w:rsidR="00974B16" w:rsidRDefault="00F26312" w:rsidP="00004BAE">
            <w:pPr>
              <w:pStyle w:val="NoSpacing"/>
              <w:jc w:val="center"/>
            </w:pPr>
            <w:r>
              <w:t>5.3%</w:t>
            </w:r>
          </w:p>
        </w:tc>
      </w:tr>
      <w:tr w:rsidR="00974B16" w:rsidTr="00F06F10">
        <w:tc>
          <w:tcPr>
            <w:tcW w:w="2898" w:type="dxa"/>
          </w:tcPr>
          <w:p w:rsidR="00974B16" w:rsidRDefault="00974B16" w:rsidP="00675D57">
            <w:pPr>
              <w:pStyle w:val="NoSpacing"/>
            </w:pPr>
            <w:r>
              <w:t>For the excellent quality of work</w:t>
            </w:r>
          </w:p>
        </w:tc>
        <w:tc>
          <w:tcPr>
            <w:tcW w:w="990" w:type="dxa"/>
            <w:shd w:val="clear" w:color="auto" w:fill="auto"/>
            <w:vAlign w:val="center"/>
          </w:tcPr>
          <w:p w:rsidR="00974B16" w:rsidRDefault="00F26312" w:rsidP="00004BAE">
            <w:pPr>
              <w:pStyle w:val="NoSpacing"/>
              <w:jc w:val="center"/>
            </w:pPr>
            <w:r>
              <w:t>13.4%</w:t>
            </w:r>
          </w:p>
        </w:tc>
        <w:tc>
          <w:tcPr>
            <w:tcW w:w="990" w:type="dxa"/>
            <w:shd w:val="clear" w:color="auto" w:fill="auto"/>
            <w:vAlign w:val="center"/>
          </w:tcPr>
          <w:p w:rsidR="00974B16" w:rsidRDefault="00F26312" w:rsidP="00004BAE">
            <w:pPr>
              <w:pStyle w:val="NoSpacing"/>
              <w:jc w:val="center"/>
            </w:pPr>
            <w:r>
              <w:t>11.1%</w:t>
            </w:r>
          </w:p>
        </w:tc>
        <w:tc>
          <w:tcPr>
            <w:tcW w:w="990" w:type="dxa"/>
            <w:shd w:val="clear" w:color="auto" w:fill="auto"/>
            <w:vAlign w:val="center"/>
          </w:tcPr>
          <w:p w:rsidR="00974B16" w:rsidRDefault="00F26312" w:rsidP="00004BAE">
            <w:pPr>
              <w:pStyle w:val="NoSpacing"/>
              <w:jc w:val="center"/>
            </w:pPr>
            <w:r>
              <w:t>0.0%</w:t>
            </w:r>
          </w:p>
        </w:tc>
        <w:tc>
          <w:tcPr>
            <w:tcW w:w="990" w:type="dxa"/>
            <w:shd w:val="clear" w:color="auto" w:fill="auto"/>
            <w:vAlign w:val="center"/>
          </w:tcPr>
          <w:p w:rsidR="00974B16" w:rsidRDefault="00F26312" w:rsidP="00004BAE">
            <w:pPr>
              <w:pStyle w:val="NoSpacing"/>
              <w:jc w:val="center"/>
            </w:pPr>
            <w:r>
              <w:t>12.5%</w:t>
            </w:r>
          </w:p>
        </w:tc>
        <w:tc>
          <w:tcPr>
            <w:tcW w:w="990" w:type="dxa"/>
            <w:shd w:val="clear" w:color="auto" w:fill="auto"/>
            <w:vAlign w:val="center"/>
          </w:tcPr>
          <w:p w:rsidR="00974B16" w:rsidRDefault="00F26312" w:rsidP="00004BAE">
            <w:pPr>
              <w:pStyle w:val="NoSpacing"/>
              <w:jc w:val="center"/>
            </w:pPr>
            <w:r>
              <w:t>17.9%</w:t>
            </w:r>
          </w:p>
        </w:tc>
        <w:tc>
          <w:tcPr>
            <w:tcW w:w="990" w:type="dxa"/>
            <w:shd w:val="clear" w:color="auto" w:fill="FDE9D9" w:themeFill="accent6" w:themeFillTint="33"/>
            <w:vAlign w:val="center"/>
          </w:tcPr>
          <w:p w:rsidR="00974B16" w:rsidRDefault="00F26312" w:rsidP="00004BAE">
            <w:pPr>
              <w:pStyle w:val="NoSpacing"/>
              <w:jc w:val="center"/>
            </w:pPr>
            <w:r>
              <w:t>25.5%</w:t>
            </w:r>
          </w:p>
        </w:tc>
        <w:tc>
          <w:tcPr>
            <w:tcW w:w="990" w:type="dxa"/>
            <w:shd w:val="clear" w:color="auto" w:fill="auto"/>
            <w:vAlign w:val="center"/>
          </w:tcPr>
          <w:p w:rsidR="00974B16" w:rsidRDefault="00F26312" w:rsidP="00004BAE">
            <w:pPr>
              <w:pStyle w:val="NoSpacing"/>
              <w:jc w:val="center"/>
            </w:pPr>
            <w:r>
              <w:t>6.3%</w:t>
            </w:r>
          </w:p>
        </w:tc>
        <w:tc>
          <w:tcPr>
            <w:tcW w:w="990" w:type="dxa"/>
            <w:shd w:val="clear" w:color="auto" w:fill="auto"/>
            <w:vAlign w:val="center"/>
          </w:tcPr>
          <w:p w:rsidR="00974B16" w:rsidRDefault="00F26312" w:rsidP="00004BAE">
            <w:pPr>
              <w:pStyle w:val="NoSpacing"/>
              <w:jc w:val="center"/>
            </w:pPr>
            <w:r>
              <w:t>11.6%</w:t>
            </w:r>
          </w:p>
        </w:tc>
        <w:tc>
          <w:tcPr>
            <w:tcW w:w="990" w:type="dxa"/>
            <w:shd w:val="clear" w:color="auto" w:fill="auto"/>
            <w:vAlign w:val="center"/>
          </w:tcPr>
          <w:p w:rsidR="00974B16" w:rsidRDefault="00EB132F" w:rsidP="00004BAE">
            <w:pPr>
              <w:pStyle w:val="NoSpacing"/>
              <w:jc w:val="center"/>
            </w:pPr>
            <w:r>
              <w:t>13.0%</w:t>
            </w:r>
          </w:p>
        </w:tc>
        <w:tc>
          <w:tcPr>
            <w:tcW w:w="990" w:type="dxa"/>
            <w:shd w:val="clear" w:color="auto" w:fill="auto"/>
            <w:vAlign w:val="center"/>
          </w:tcPr>
          <w:p w:rsidR="00974B16" w:rsidRDefault="00F26312" w:rsidP="00004BAE">
            <w:pPr>
              <w:pStyle w:val="NoSpacing"/>
              <w:jc w:val="center"/>
            </w:pPr>
            <w:r>
              <w:t>7.4%</w:t>
            </w:r>
          </w:p>
        </w:tc>
        <w:tc>
          <w:tcPr>
            <w:tcW w:w="990" w:type="dxa"/>
            <w:shd w:val="clear" w:color="auto" w:fill="auto"/>
            <w:vAlign w:val="center"/>
          </w:tcPr>
          <w:p w:rsidR="00974B16" w:rsidRDefault="00F26312" w:rsidP="00004BAE">
            <w:pPr>
              <w:pStyle w:val="NoSpacing"/>
              <w:jc w:val="center"/>
            </w:pPr>
            <w:r>
              <w:t>10.5%</w:t>
            </w:r>
          </w:p>
        </w:tc>
      </w:tr>
      <w:tr w:rsidR="00974B16" w:rsidTr="00004BAE">
        <w:tc>
          <w:tcPr>
            <w:tcW w:w="2898" w:type="dxa"/>
          </w:tcPr>
          <w:p w:rsidR="00974B16" w:rsidRDefault="00974B16" w:rsidP="00675D57">
            <w:pPr>
              <w:pStyle w:val="NoSpacing"/>
            </w:pPr>
            <w:r>
              <w:t>Enjoy helping with educating dental students</w:t>
            </w:r>
          </w:p>
        </w:tc>
        <w:tc>
          <w:tcPr>
            <w:tcW w:w="990" w:type="dxa"/>
            <w:shd w:val="clear" w:color="auto" w:fill="auto"/>
            <w:vAlign w:val="center"/>
          </w:tcPr>
          <w:p w:rsidR="00974B16" w:rsidRDefault="00F26312" w:rsidP="00004BAE">
            <w:pPr>
              <w:pStyle w:val="NoSpacing"/>
              <w:jc w:val="center"/>
            </w:pPr>
            <w:r>
              <w:t>7.2%</w:t>
            </w:r>
          </w:p>
        </w:tc>
        <w:tc>
          <w:tcPr>
            <w:tcW w:w="990" w:type="dxa"/>
            <w:shd w:val="clear" w:color="auto" w:fill="auto"/>
            <w:vAlign w:val="center"/>
          </w:tcPr>
          <w:p w:rsidR="00974B16" w:rsidRDefault="00F26312" w:rsidP="00004BAE">
            <w:pPr>
              <w:pStyle w:val="NoSpacing"/>
              <w:jc w:val="center"/>
            </w:pPr>
            <w:r>
              <w:t>0.0%</w:t>
            </w:r>
          </w:p>
        </w:tc>
        <w:tc>
          <w:tcPr>
            <w:tcW w:w="990" w:type="dxa"/>
            <w:shd w:val="clear" w:color="auto" w:fill="auto"/>
            <w:vAlign w:val="center"/>
          </w:tcPr>
          <w:p w:rsidR="00974B16" w:rsidRDefault="00F26312" w:rsidP="00004BAE">
            <w:pPr>
              <w:pStyle w:val="NoSpacing"/>
              <w:jc w:val="center"/>
            </w:pPr>
            <w:r>
              <w:t>0.0%</w:t>
            </w:r>
          </w:p>
        </w:tc>
        <w:tc>
          <w:tcPr>
            <w:tcW w:w="990" w:type="dxa"/>
            <w:shd w:val="clear" w:color="auto" w:fill="auto"/>
            <w:vAlign w:val="center"/>
          </w:tcPr>
          <w:p w:rsidR="00974B16" w:rsidRDefault="00F26312" w:rsidP="00004BAE">
            <w:pPr>
              <w:pStyle w:val="NoSpacing"/>
              <w:jc w:val="center"/>
            </w:pPr>
            <w:r>
              <w:t>0.0%</w:t>
            </w:r>
          </w:p>
        </w:tc>
        <w:tc>
          <w:tcPr>
            <w:tcW w:w="990" w:type="dxa"/>
            <w:shd w:val="clear" w:color="auto" w:fill="auto"/>
            <w:vAlign w:val="center"/>
          </w:tcPr>
          <w:p w:rsidR="00974B16" w:rsidRDefault="00F26312" w:rsidP="00004BAE">
            <w:pPr>
              <w:pStyle w:val="NoSpacing"/>
              <w:jc w:val="center"/>
            </w:pPr>
            <w:r>
              <w:t>3.6%</w:t>
            </w:r>
          </w:p>
        </w:tc>
        <w:tc>
          <w:tcPr>
            <w:tcW w:w="990" w:type="dxa"/>
            <w:shd w:val="clear" w:color="auto" w:fill="auto"/>
            <w:vAlign w:val="center"/>
          </w:tcPr>
          <w:p w:rsidR="00974B16" w:rsidRDefault="00F26312" w:rsidP="00004BAE">
            <w:pPr>
              <w:pStyle w:val="NoSpacing"/>
              <w:jc w:val="center"/>
            </w:pPr>
            <w:r>
              <w:t>0.0%</w:t>
            </w:r>
          </w:p>
        </w:tc>
        <w:tc>
          <w:tcPr>
            <w:tcW w:w="990" w:type="dxa"/>
            <w:shd w:val="clear" w:color="auto" w:fill="auto"/>
            <w:vAlign w:val="center"/>
          </w:tcPr>
          <w:p w:rsidR="00974B16" w:rsidRDefault="00F26312" w:rsidP="00004BAE">
            <w:pPr>
              <w:pStyle w:val="NoSpacing"/>
              <w:jc w:val="center"/>
            </w:pPr>
            <w:r>
              <w:t>0.0%</w:t>
            </w:r>
          </w:p>
        </w:tc>
        <w:tc>
          <w:tcPr>
            <w:tcW w:w="990" w:type="dxa"/>
            <w:shd w:val="clear" w:color="auto" w:fill="auto"/>
            <w:vAlign w:val="center"/>
          </w:tcPr>
          <w:p w:rsidR="00974B16" w:rsidRDefault="00F26312" w:rsidP="00004BAE">
            <w:pPr>
              <w:pStyle w:val="NoSpacing"/>
              <w:jc w:val="center"/>
            </w:pPr>
            <w:r>
              <w:t>4.7%</w:t>
            </w:r>
          </w:p>
        </w:tc>
        <w:tc>
          <w:tcPr>
            <w:tcW w:w="990" w:type="dxa"/>
            <w:shd w:val="clear" w:color="auto" w:fill="auto"/>
            <w:vAlign w:val="center"/>
          </w:tcPr>
          <w:p w:rsidR="00974B16" w:rsidRDefault="00EB132F" w:rsidP="00004BAE">
            <w:pPr>
              <w:pStyle w:val="NoSpacing"/>
              <w:jc w:val="center"/>
            </w:pPr>
            <w:r>
              <w:t>1.9%</w:t>
            </w:r>
          </w:p>
        </w:tc>
        <w:tc>
          <w:tcPr>
            <w:tcW w:w="990" w:type="dxa"/>
            <w:shd w:val="clear" w:color="auto" w:fill="auto"/>
            <w:vAlign w:val="center"/>
          </w:tcPr>
          <w:p w:rsidR="00974B16" w:rsidRDefault="00F26312" w:rsidP="00004BAE">
            <w:pPr>
              <w:pStyle w:val="NoSpacing"/>
              <w:jc w:val="center"/>
            </w:pPr>
            <w:r>
              <w:t>0.0%</w:t>
            </w:r>
          </w:p>
        </w:tc>
        <w:tc>
          <w:tcPr>
            <w:tcW w:w="990" w:type="dxa"/>
            <w:shd w:val="clear" w:color="auto" w:fill="auto"/>
            <w:vAlign w:val="center"/>
          </w:tcPr>
          <w:p w:rsidR="00974B16" w:rsidRDefault="00F26312" w:rsidP="00004BAE">
            <w:pPr>
              <w:pStyle w:val="NoSpacing"/>
              <w:jc w:val="center"/>
            </w:pPr>
            <w:r>
              <w:t>2.6%</w:t>
            </w:r>
          </w:p>
        </w:tc>
      </w:tr>
      <w:tr w:rsidR="00974B16" w:rsidTr="00EB132F">
        <w:tc>
          <w:tcPr>
            <w:tcW w:w="2898" w:type="dxa"/>
          </w:tcPr>
          <w:p w:rsidR="00974B16" w:rsidRDefault="00974B16" w:rsidP="00A81A43">
            <w:pPr>
              <w:pStyle w:val="NoSpacing"/>
            </w:pPr>
            <w:r>
              <w:t>Enjoy helping educate graduate dentists</w:t>
            </w:r>
          </w:p>
        </w:tc>
        <w:tc>
          <w:tcPr>
            <w:tcW w:w="990" w:type="dxa"/>
            <w:shd w:val="clear" w:color="auto" w:fill="auto"/>
            <w:vAlign w:val="center"/>
          </w:tcPr>
          <w:p w:rsidR="00974B16" w:rsidRDefault="00F26312" w:rsidP="00004BAE">
            <w:pPr>
              <w:pStyle w:val="NoSpacing"/>
              <w:jc w:val="center"/>
            </w:pPr>
            <w:r>
              <w:t>1.6%</w:t>
            </w:r>
          </w:p>
        </w:tc>
        <w:tc>
          <w:tcPr>
            <w:tcW w:w="990" w:type="dxa"/>
            <w:shd w:val="clear" w:color="auto" w:fill="auto"/>
            <w:vAlign w:val="center"/>
          </w:tcPr>
          <w:p w:rsidR="00974B16" w:rsidRDefault="00F26312" w:rsidP="00004BAE">
            <w:pPr>
              <w:pStyle w:val="NoSpacing"/>
              <w:jc w:val="center"/>
            </w:pPr>
            <w:r>
              <w:t>0.0%</w:t>
            </w:r>
          </w:p>
        </w:tc>
        <w:tc>
          <w:tcPr>
            <w:tcW w:w="990" w:type="dxa"/>
            <w:tcBorders>
              <w:bottom w:val="single" w:sz="4" w:space="0" w:color="000000" w:themeColor="text1"/>
            </w:tcBorders>
            <w:shd w:val="clear" w:color="auto" w:fill="auto"/>
            <w:vAlign w:val="center"/>
          </w:tcPr>
          <w:p w:rsidR="00974B16" w:rsidRDefault="00F26312" w:rsidP="00004BAE">
            <w:pPr>
              <w:pStyle w:val="NoSpacing"/>
              <w:jc w:val="center"/>
            </w:pPr>
            <w:r>
              <w:t>0.0%</w:t>
            </w:r>
          </w:p>
        </w:tc>
        <w:tc>
          <w:tcPr>
            <w:tcW w:w="990" w:type="dxa"/>
            <w:shd w:val="clear" w:color="auto" w:fill="auto"/>
            <w:vAlign w:val="center"/>
          </w:tcPr>
          <w:p w:rsidR="00974B16" w:rsidRDefault="00F26312" w:rsidP="00004BAE">
            <w:pPr>
              <w:pStyle w:val="NoSpacing"/>
              <w:jc w:val="center"/>
            </w:pPr>
            <w:r>
              <w:t>0.0%</w:t>
            </w:r>
          </w:p>
        </w:tc>
        <w:tc>
          <w:tcPr>
            <w:tcW w:w="990" w:type="dxa"/>
            <w:tcBorders>
              <w:bottom w:val="single" w:sz="4" w:space="0" w:color="000000" w:themeColor="text1"/>
            </w:tcBorders>
            <w:shd w:val="clear" w:color="auto" w:fill="auto"/>
            <w:vAlign w:val="center"/>
          </w:tcPr>
          <w:p w:rsidR="00974B16" w:rsidRDefault="00F26312" w:rsidP="00004BAE">
            <w:pPr>
              <w:pStyle w:val="NoSpacing"/>
              <w:jc w:val="center"/>
            </w:pPr>
            <w:r>
              <w:t>0.0%</w:t>
            </w:r>
          </w:p>
        </w:tc>
        <w:tc>
          <w:tcPr>
            <w:tcW w:w="990" w:type="dxa"/>
            <w:tcBorders>
              <w:bottom w:val="single" w:sz="4" w:space="0" w:color="000000" w:themeColor="text1"/>
            </w:tcBorders>
            <w:shd w:val="clear" w:color="auto" w:fill="auto"/>
            <w:vAlign w:val="center"/>
          </w:tcPr>
          <w:p w:rsidR="00974B16" w:rsidRDefault="00F26312" w:rsidP="00004BAE">
            <w:pPr>
              <w:pStyle w:val="NoSpacing"/>
              <w:jc w:val="center"/>
            </w:pPr>
            <w:r>
              <w:t>0.0%</w:t>
            </w:r>
          </w:p>
        </w:tc>
        <w:tc>
          <w:tcPr>
            <w:tcW w:w="990" w:type="dxa"/>
            <w:tcBorders>
              <w:bottom w:val="single" w:sz="4" w:space="0" w:color="000000" w:themeColor="text1"/>
            </w:tcBorders>
            <w:shd w:val="clear" w:color="auto" w:fill="auto"/>
            <w:vAlign w:val="center"/>
          </w:tcPr>
          <w:p w:rsidR="00974B16" w:rsidRDefault="00F26312" w:rsidP="00004BAE">
            <w:pPr>
              <w:pStyle w:val="NoSpacing"/>
              <w:jc w:val="center"/>
            </w:pPr>
            <w:r>
              <w:t>0.0%</w:t>
            </w:r>
          </w:p>
        </w:tc>
        <w:tc>
          <w:tcPr>
            <w:tcW w:w="990" w:type="dxa"/>
            <w:tcBorders>
              <w:bottom w:val="single" w:sz="4" w:space="0" w:color="000000" w:themeColor="text1"/>
            </w:tcBorders>
            <w:shd w:val="clear" w:color="auto" w:fill="auto"/>
            <w:vAlign w:val="center"/>
          </w:tcPr>
          <w:p w:rsidR="00974B16" w:rsidRDefault="00F26312" w:rsidP="00004BAE">
            <w:pPr>
              <w:pStyle w:val="NoSpacing"/>
              <w:jc w:val="center"/>
            </w:pPr>
            <w:r>
              <w:t>0.0%</w:t>
            </w:r>
          </w:p>
        </w:tc>
        <w:tc>
          <w:tcPr>
            <w:tcW w:w="990" w:type="dxa"/>
            <w:tcBorders>
              <w:bottom w:val="single" w:sz="4" w:space="0" w:color="000000" w:themeColor="text1"/>
            </w:tcBorders>
            <w:shd w:val="clear" w:color="auto" w:fill="auto"/>
            <w:vAlign w:val="center"/>
          </w:tcPr>
          <w:p w:rsidR="00974B16" w:rsidRDefault="00EB132F" w:rsidP="00004BAE">
            <w:pPr>
              <w:pStyle w:val="NoSpacing"/>
              <w:jc w:val="center"/>
            </w:pPr>
            <w:r>
              <w:t>0.0%</w:t>
            </w:r>
          </w:p>
        </w:tc>
        <w:tc>
          <w:tcPr>
            <w:tcW w:w="990" w:type="dxa"/>
            <w:shd w:val="clear" w:color="auto" w:fill="auto"/>
            <w:vAlign w:val="center"/>
          </w:tcPr>
          <w:p w:rsidR="00974B16" w:rsidRDefault="00F26312" w:rsidP="00004BAE">
            <w:pPr>
              <w:pStyle w:val="NoSpacing"/>
              <w:jc w:val="center"/>
            </w:pPr>
            <w:r>
              <w:t>0.0%</w:t>
            </w:r>
          </w:p>
        </w:tc>
        <w:tc>
          <w:tcPr>
            <w:tcW w:w="990" w:type="dxa"/>
            <w:shd w:val="clear" w:color="auto" w:fill="auto"/>
            <w:vAlign w:val="center"/>
          </w:tcPr>
          <w:p w:rsidR="00974B16" w:rsidRDefault="00F26312" w:rsidP="00004BAE">
            <w:pPr>
              <w:pStyle w:val="NoSpacing"/>
              <w:jc w:val="center"/>
            </w:pPr>
            <w:r>
              <w:t>2.6%</w:t>
            </w:r>
          </w:p>
        </w:tc>
      </w:tr>
      <w:tr w:rsidR="00974B16" w:rsidTr="00EB132F">
        <w:tc>
          <w:tcPr>
            <w:tcW w:w="2898" w:type="dxa"/>
          </w:tcPr>
          <w:p w:rsidR="00974B16" w:rsidRDefault="00974B16" w:rsidP="00675D57">
            <w:pPr>
              <w:pStyle w:val="NoSpacing"/>
            </w:pPr>
            <w:r>
              <w:t>I was referred here</w:t>
            </w:r>
          </w:p>
        </w:tc>
        <w:tc>
          <w:tcPr>
            <w:tcW w:w="990" w:type="dxa"/>
            <w:shd w:val="clear" w:color="auto" w:fill="auto"/>
            <w:vAlign w:val="center"/>
          </w:tcPr>
          <w:p w:rsidR="00974B16" w:rsidRDefault="00F26312" w:rsidP="00004BAE">
            <w:pPr>
              <w:pStyle w:val="NoSpacing"/>
              <w:jc w:val="center"/>
            </w:pPr>
            <w:r>
              <w:t>8.1%</w:t>
            </w:r>
          </w:p>
        </w:tc>
        <w:tc>
          <w:tcPr>
            <w:tcW w:w="990" w:type="dxa"/>
            <w:shd w:val="clear" w:color="auto" w:fill="auto"/>
            <w:vAlign w:val="center"/>
          </w:tcPr>
          <w:p w:rsidR="00974B16" w:rsidRDefault="00F26312" w:rsidP="00004BAE">
            <w:pPr>
              <w:pStyle w:val="NoSpacing"/>
              <w:jc w:val="center"/>
            </w:pPr>
            <w:r>
              <w:t>5.6%</w:t>
            </w:r>
          </w:p>
        </w:tc>
        <w:tc>
          <w:tcPr>
            <w:tcW w:w="990" w:type="dxa"/>
            <w:shd w:val="clear" w:color="auto" w:fill="FDE9D9" w:themeFill="accent6" w:themeFillTint="33"/>
            <w:vAlign w:val="center"/>
          </w:tcPr>
          <w:p w:rsidR="00974B16" w:rsidRDefault="00F26312" w:rsidP="00004BAE">
            <w:pPr>
              <w:pStyle w:val="NoSpacing"/>
              <w:jc w:val="center"/>
            </w:pPr>
            <w:r>
              <w:t>40.9%</w:t>
            </w:r>
          </w:p>
        </w:tc>
        <w:tc>
          <w:tcPr>
            <w:tcW w:w="990" w:type="dxa"/>
            <w:shd w:val="clear" w:color="auto" w:fill="auto"/>
            <w:vAlign w:val="center"/>
          </w:tcPr>
          <w:p w:rsidR="00974B16" w:rsidRDefault="00F26312" w:rsidP="00004BAE">
            <w:pPr>
              <w:pStyle w:val="NoSpacing"/>
              <w:jc w:val="center"/>
            </w:pPr>
            <w:r>
              <w:t>0.0%</w:t>
            </w:r>
          </w:p>
        </w:tc>
        <w:tc>
          <w:tcPr>
            <w:tcW w:w="990" w:type="dxa"/>
            <w:shd w:val="clear" w:color="auto" w:fill="auto"/>
            <w:vAlign w:val="center"/>
          </w:tcPr>
          <w:p w:rsidR="00974B16" w:rsidRDefault="00F26312" w:rsidP="00004BAE">
            <w:pPr>
              <w:pStyle w:val="NoSpacing"/>
              <w:jc w:val="center"/>
            </w:pPr>
            <w:r>
              <w:t>3.6%</w:t>
            </w:r>
          </w:p>
        </w:tc>
        <w:tc>
          <w:tcPr>
            <w:tcW w:w="990" w:type="dxa"/>
            <w:shd w:val="clear" w:color="auto" w:fill="auto"/>
            <w:vAlign w:val="center"/>
          </w:tcPr>
          <w:p w:rsidR="00974B16" w:rsidRDefault="00F26312" w:rsidP="00004BAE">
            <w:pPr>
              <w:pStyle w:val="NoSpacing"/>
              <w:jc w:val="center"/>
            </w:pPr>
            <w:r>
              <w:t>20.0%</w:t>
            </w:r>
          </w:p>
        </w:tc>
        <w:tc>
          <w:tcPr>
            <w:tcW w:w="990" w:type="dxa"/>
            <w:shd w:val="clear" w:color="auto" w:fill="FDE9D9" w:themeFill="accent6" w:themeFillTint="33"/>
            <w:vAlign w:val="center"/>
          </w:tcPr>
          <w:p w:rsidR="00974B16" w:rsidRDefault="00F26312" w:rsidP="00004BAE">
            <w:pPr>
              <w:pStyle w:val="NoSpacing"/>
              <w:jc w:val="center"/>
            </w:pPr>
            <w:r>
              <w:t>81.3%</w:t>
            </w:r>
          </w:p>
        </w:tc>
        <w:tc>
          <w:tcPr>
            <w:tcW w:w="990" w:type="dxa"/>
            <w:shd w:val="clear" w:color="auto" w:fill="FDE9D9" w:themeFill="accent6" w:themeFillTint="33"/>
            <w:vAlign w:val="center"/>
          </w:tcPr>
          <w:p w:rsidR="00974B16" w:rsidRDefault="00F26312" w:rsidP="00004BAE">
            <w:pPr>
              <w:pStyle w:val="NoSpacing"/>
              <w:jc w:val="center"/>
            </w:pPr>
            <w:r>
              <w:t>20.9%</w:t>
            </w:r>
          </w:p>
        </w:tc>
        <w:tc>
          <w:tcPr>
            <w:tcW w:w="990" w:type="dxa"/>
            <w:shd w:val="clear" w:color="auto" w:fill="auto"/>
            <w:vAlign w:val="center"/>
          </w:tcPr>
          <w:p w:rsidR="00974B16" w:rsidRDefault="00EB132F" w:rsidP="00004BAE">
            <w:pPr>
              <w:pStyle w:val="NoSpacing"/>
              <w:jc w:val="center"/>
            </w:pPr>
            <w:r>
              <w:t>22.2%</w:t>
            </w:r>
          </w:p>
        </w:tc>
        <w:tc>
          <w:tcPr>
            <w:tcW w:w="990" w:type="dxa"/>
            <w:shd w:val="clear" w:color="auto" w:fill="auto"/>
            <w:vAlign w:val="center"/>
          </w:tcPr>
          <w:p w:rsidR="00974B16" w:rsidRDefault="00F26312" w:rsidP="00004BAE">
            <w:pPr>
              <w:pStyle w:val="NoSpacing"/>
              <w:jc w:val="center"/>
            </w:pPr>
            <w:r>
              <w:t>14.8%</w:t>
            </w:r>
          </w:p>
        </w:tc>
        <w:tc>
          <w:tcPr>
            <w:tcW w:w="990" w:type="dxa"/>
            <w:shd w:val="clear" w:color="auto" w:fill="auto"/>
            <w:vAlign w:val="center"/>
          </w:tcPr>
          <w:p w:rsidR="00974B16" w:rsidRDefault="00F26312" w:rsidP="00004BAE">
            <w:pPr>
              <w:pStyle w:val="NoSpacing"/>
              <w:jc w:val="center"/>
            </w:pPr>
            <w:r>
              <w:t>7.9%</w:t>
            </w:r>
          </w:p>
        </w:tc>
      </w:tr>
      <w:tr w:rsidR="00974B16" w:rsidTr="00004BAE">
        <w:tc>
          <w:tcPr>
            <w:tcW w:w="2898" w:type="dxa"/>
          </w:tcPr>
          <w:p w:rsidR="00974B16" w:rsidRDefault="00974B16" w:rsidP="00675D57">
            <w:pPr>
              <w:pStyle w:val="NoSpacing"/>
            </w:pPr>
            <w:r>
              <w:t>Enrolled in Medicaid Insurance program</w:t>
            </w:r>
          </w:p>
        </w:tc>
        <w:tc>
          <w:tcPr>
            <w:tcW w:w="990" w:type="dxa"/>
            <w:shd w:val="clear" w:color="auto" w:fill="auto"/>
            <w:vAlign w:val="center"/>
          </w:tcPr>
          <w:p w:rsidR="00974B16" w:rsidRDefault="00F26312" w:rsidP="00004BAE">
            <w:pPr>
              <w:pStyle w:val="NoSpacing"/>
              <w:jc w:val="center"/>
            </w:pPr>
            <w:r>
              <w:t>1.9%</w:t>
            </w:r>
          </w:p>
        </w:tc>
        <w:tc>
          <w:tcPr>
            <w:tcW w:w="990" w:type="dxa"/>
            <w:shd w:val="clear" w:color="auto" w:fill="auto"/>
            <w:vAlign w:val="center"/>
          </w:tcPr>
          <w:p w:rsidR="00974B16" w:rsidRDefault="00F26312" w:rsidP="00004BAE">
            <w:pPr>
              <w:pStyle w:val="NoSpacing"/>
              <w:jc w:val="center"/>
            </w:pPr>
            <w:r>
              <w:t>0.0%</w:t>
            </w:r>
          </w:p>
        </w:tc>
        <w:tc>
          <w:tcPr>
            <w:tcW w:w="990" w:type="dxa"/>
            <w:shd w:val="clear" w:color="auto" w:fill="auto"/>
            <w:vAlign w:val="center"/>
          </w:tcPr>
          <w:p w:rsidR="00974B16" w:rsidRDefault="00F26312" w:rsidP="00004BAE">
            <w:pPr>
              <w:pStyle w:val="NoSpacing"/>
              <w:jc w:val="center"/>
            </w:pPr>
            <w:r>
              <w:t>0.0%</w:t>
            </w:r>
          </w:p>
        </w:tc>
        <w:tc>
          <w:tcPr>
            <w:tcW w:w="990" w:type="dxa"/>
            <w:shd w:val="clear" w:color="auto" w:fill="auto"/>
            <w:vAlign w:val="center"/>
          </w:tcPr>
          <w:p w:rsidR="00974B16" w:rsidRDefault="00F26312" w:rsidP="00004BAE">
            <w:pPr>
              <w:pStyle w:val="NoSpacing"/>
              <w:jc w:val="center"/>
            </w:pPr>
            <w:r>
              <w:t>0.0%</w:t>
            </w:r>
          </w:p>
        </w:tc>
        <w:tc>
          <w:tcPr>
            <w:tcW w:w="990" w:type="dxa"/>
            <w:shd w:val="clear" w:color="auto" w:fill="auto"/>
            <w:vAlign w:val="center"/>
          </w:tcPr>
          <w:p w:rsidR="00974B16" w:rsidRDefault="00F26312" w:rsidP="00004BAE">
            <w:pPr>
              <w:pStyle w:val="NoSpacing"/>
              <w:jc w:val="center"/>
            </w:pPr>
            <w:r>
              <w:t>3.6%</w:t>
            </w:r>
          </w:p>
        </w:tc>
        <w:tc>
          <w:tcPr>
            <w:tcW w:w="990" w:type="dxa"/>
            <w:vAlign w:val="center"/>
          </w:tcPr>
          <w:p w:rsidR="00974B16" w:rsidRDefault="00F26312" w:rsidP="00004BAE">
            <w:pPr>
              <w:pStyle w:val="NoSpacing"/>
              <w:jc w:val="center"/>
            </w:pPr>
            <w:r>
              <w:t>3.6%</w:t>
            </w:r>
          </w:p>
        </w:tc>
        <w:tc>
          <w:tcPr>
            <w:tcW w:w="990" w:type="dxa"/>
            <w:shd w:val="clear" w:color="auto" w:fill="auto"/>
            <w:vAlign w:val="center"/>
          </w:tcPr>
          <w:p w:rsidR="00974B16" w:rsidRDefault="00F26312" w:rsidP="00004BAE">
            <w:pPr>
              <w:pStyle w:val="NoSpacing"/>
              <w:jc w:val="center"/>
            </w:pPr>
            <w:r>
              <w:t>0.0%</w:t>
            </w:r>
          </w:p>
        </w:tc>
        <w:tc>
          <w:tcPr>
            <w:tcW w:w="990" w:type="dxa"/>
            <w:shd w:val="clear" w:color="auto" w:fill="auto"/>
            <w:vAlign w:val="center"/>
          </w:tcPr>
          <w:p w:rsidR="00974B16" w:rsidRDefault="00F26312" w:rsidP="00004BAE">
            <w:pPr>
              <w:pStyle w:val="NoSpacing"/>
              <w:jc w:val="center"/>
            </w:pPr>
            <w:r>
              <w:t>18.6%</w:t>
            </w:r>
          </w:p>
        </w:tc>
        <w:tc>
          <w:tcPr>
            <w:tcW w:w="990" w:type="dxa"/>
            <w:shd w:val="clear" w:color="auto" w:fill="auto"/>
            <w:vAlign w:val="center"/>
          </w:tcPr>
          <w:p w:rsidR="00974B16" w:rsidRDefault="00EB132F" w:rsidP="00004BAE">
            <w:pPr>
              <w:pStyle w:val="NoSpacing"/>
              <w:jc w:val="center"/>
            </w:pPr>
            <w:r>
              <w:t>5.6%</w:t>
            </w:r>
          </w:p>
        </w:tc>
        <w:tc>
          <w:tcPr>
            <w:tcW w:w="990" w:type="dxa"/>
            <w:shd w:val="clear" w:color="auto" w:fill="auto"/>
            <w:vAlign w:val="center"/>
          </w:tcPr>
          <w:p w:rsidR="00974B16" w:rsidRDefault="00F26312" w:rsidP="00004BAE">
            <w:pPr>
              <w:pStyle w:val="NoSpacing"/>
              <w:jc w:val="center"/>
            </w:pPr>
            <w:r>
              <w:t>22.2%</w:t>
            </w:r>
          </w:p>
        </w:tc>
        <w:tc>
          <w:tcPr>
            <w:tcW w:w="990" w:type="dxa"/>
            <w:shd w:val="clear" w:color="auto" w:fill="auto"/>
            <w:vAlign w:val="center"/>
          </w:tcPr>
          <w:p w:rsidR="00974B16" w:rsidRDefault="00F26312" w:rsidP="00004BAE">
            <w:pPr>
              <w:pStyle w:val="NoSpacing"/>
              <w:jc w:val="center"/>
            </w:pPr>
            <w:r>
              <w:t>2.6%</w:t>
            </w:r>
          </w:p>
        </w:tc>
      </w:tr>
      <w:tr w:rsidR="00974B16" w:rsidTr="00004BAE">
        <w:tc>
          <w:tcPr>
            <w:tcW w:w="2898" w:type="dxa"/>
          </w:tcPr>
          <w:p w:rsidR="00974B16" w:rsidRDefault="00974B16" w:rsidP="00C13B18">
            <w:pPr>
              <w:pStyle w:val="NoSpacing"/>
            </w:pPr>
            <w:r>
              <w:t>Seek the expertise of the faculty</w:t>
            </w:r>
          </w:p>
        </w:tc>
        <w:tc>
          <w:tcPr>
            <w:tcW w:w="990" w:type="dxa"/>
            <w:shd w:val="clear" w:color="auto" w:fill="auto"/>
            <w:vAlign w:val="center"/>
          </w:tcPr>
          <w:p w:rsidR="00974B16" w:rsidRDefault="00F26312" w:rsidP="00004BAE">
            <w:pPr>
              <w:pStyle w:val="NoSpacing"/>
              <w:jc w:val="center"/>
            </w:pPr>
            <w:r>
              <w:t>1.6%</w:t>
            </w:r>
          </w:p>
        </w:tc>
        <w:tc>
          <w:tcPr>
            <w:tcW w:w="990" w:type="dxa"/>
            <w:shd w:val="clear" w:color="auto" w:fill="auto"/>
            <w:vAlign w:val="center"/>
          </w:tcPr>
          <w:p w:rsidR="00974B16" w:rsidRDefault="00F26312" w:rsidP="00004BAE">
            <w:pPr>
              <w:pStyle w:val="NoSpacing"/>
              <w:jc w:val="center"/>
            </w:pPr>
            <w:r>
              <w:t>0.0%</w:t>
            </w:r>
          </w:p>
        </w:tc>
        <w:tc>
          <w:tcPr>
            <w:tcW w:w="990" w:type="dxa"/>
            <w:shd w:val="clear" w:color="auto" w:fill="auto"/>
            <w:vAlign w:val="center"/>
          </w:tcPr>
          <w:p w:rsidR="00974B16" w:rsidRDefault="00F26312" w:rsidP="00004BAE">
            <w:pPr>
              <w:pStyle w:val="NoSpacing"/>
              <w:jc w:val="center"/>
            </w:pPr>
            <w:r>
              <w:t>0.0%</w:t>
            </w:r>
          </w:p>
        </w:tc>
        <w:tc>
          <w:tcPr>
            <w:tcW w:w="990" w:type="dxa"/>
            <w:shd w:val="clear" w:color="auto" w:fill="auto"/>
            <w:vAlign w:val="center"/>
          </w:tcPr>
          <w:p w:rsidR="00974B16" w:rsidRDefault="00F26312" w:rsidP="00004BAE">
            <w:pPr>
              <w:pStyle w:val="NoSpacing"/>
              <w:jc w:val="center"/>
            </w:pPr>
            <w:r>
              <w:t>6.3%</w:t>
            </w:r>
          </w:p>
        </w:tc>
        <w:tc>
          <w:tcPr>
            <w:tcW w:w="990" w:type="dxa"/>
            <w:shd w:val="clear" w:color="auto" w:fill="auto"/>
            <w:vAlign w:val="center"/>
          </w:tcPr>
          <w:p w:rsidR="00974B16" w:rsidRDefault="00F26312" w:rsidP="00004BAE">
            <w:pPr>
              <w:pStyle w:val="NoSpacing"/>
              <w:jc w:val="center"/>
            </w:pPr>
            <w:r>
              <w:t>7.1%</w:t>
            </w:r>
          </w:p>
        </w:tc>
        <w:tc>
          <w:tcPr>
            <w:tcW w:w="990" w:type="dxa"/>
            <w:vAlign w:val="center"/>
          </w:tcPr>
          <w:p w:rsidR="00974B16" w:rsidRDefault="00F26312" w:rsidP="00004BAE">
            <w:pPr>
              <w:pStyle w:val="NoSpacing"/>
              <w:jc w:val="center"/>
            </w:pPr>
            <w:r>
              <w:t>0.0%</w:t>
            </w:r>
          </w:p>
        </w:tc>
        <w:tc>
          <w:tcPr>
            <w:tcW w:w="990" w:type="dxa"/>
            <w:shd w:val="clear" w:color="auto" w:fill="auto"/>
            <w:vAlign w:val="center"/>
          </w:tcPr>
          <w:p w:rsidR="00974B16" w:rsidRDefault="00F26312" w:rsidP="00004BAE">
            <w:pPr>
              <w:pStyle w:val="NoSpacing"/>
              <w:jc w:val="center"/>
            </w:pPr>
            <w:r>
              <w:t>6.3%</w:t>
            </w:r>
          </w:p>
        </w:tc>
        <w:tc>
          <w:tcPr>
            <w:tcW w:w="990" w:type="dxa"/>
            <w:shd w:val="clear" w:color="auto" w:fill="auto"/>
            <w:vAlign w:val="center"/>
          </w:tcPr>
          <w:p w:rsidR="00974B16" w:rsidRDefault="00F26312" w:rsidP="00004BAE">
            <w:pPr>
              <w:pStyle w:val="NoSpacing"/>
              <w:jc w:val="center"/>
            </w:pPr>
            <w:r>
              <w:t>2.3%</w:t>
            </w:r>
          </w:p>
        </w:tc>
        <w:tc>
          <w:tcPr>
            <w:tcW w:w="990" w:type="dxa"/>
            <w:shd w:val="clear" w:color="auto" w:fill="auto"/>
            <w:vAlign w:val="center"/>
          </w:tcPr>
          <w:p w:rsidR="00974B16" w:rsidRDefault="00EB132F" w:rsidP="00004BAE">
            <w:pPr>
              <w:pStyle w:val="NoSpacing"/>
              <w:jc w:val="center"/>
            </w:pPr>
            <w:r>
              <w:t>5.6%</w:t>
            </w:r>
          </w:p>
        </w:tc>
        <w:tc>
          <w:tcPr>
            <w:tcW w:w="990" w:type="dxa"/>
            <w:shd w:val="clear" w:color="auto" w:fill="auto"/>
            <w:vAlign w:val="center"/>
          </w:tcPr>
          <w:p w:rsidR="00974B16" w:rsidRDefault="00F26312" w:rsidP="00004BAE">
            <w:pPr>
              <w:pStyle w:val="NoSpacing"/>
              <w:jc w:val="center"/>
            </w:pPr>
            <w:r>
              <w:t>0.0%</w:t>
            </w:r>
          </w:p>
        </w:tc>
        <w:tc>
          <w:tcPr>
            <w:tcW w:w="990" w:type="dxa"/>
            <w:shd w:val="clear" w:color="auto" w:fill="auto"/>
            <w:vAlign w:val="center"/>
          </w:tcPr>
          <w:p w:rsidR="00974B16" w:rsidRDefault="00F26312" w:rsidP="00004BAE">
            <w:pPr>
              <w:pStyle w:val="NoSpacing"/>
              <w:jc w:val="center"/>
            </w:pPr>
            <w:r>
              <w:t>2.6%</w:t>
            </w:r>
          </w:p>
        </w:tc>
      </w:tr>
      <w:tr w:rsidR="00974B16" w:rsidTr="00004BAE">
        <w:tc>
          <w:tcPr>
            <w:tcW w:w="2898" w:type="dxa"/>
          </w:tcPr>
          <w:p w:rsidR="00974B16" w:rsidRDefault="00974B16" w:rsidP="00094483">
            <w:pPr>
              <w:pStyle w:val="NoSpacing"/>
            </w:pPr>
            <w:r>
              <w:t>Gator Advantage</w:t>
            </w:r>
          </w:p>
        </w:tc>
        <w:tc>
          <w:tcPr>
            <w:tcW w:w="990" w:type="dxa"/>
            <w:shd w:val="clear" w:color="auto" w:fill="auto"/>
            <w:vAlign w:val="center"/>
          </w:tcPr>
          <w:p w:rsidR="00974B16" w:rsidRDefault="00F26312" w:rsidP="00004BAE">
            <w:pPr>
              <w:pStyle w:val="NoSpacing"/>
              <w:jc w:val="center"/>
            </w:pPr>
            <w:r>
              <w:t>0.3%</w:t>
            </w:r>
          </w:p>
        </w:tc>
        <w:tc>
          <w:tcPr>
            <w:tcW w:w="990" w:type="dxa"/>
            <w:shd w:val="clear" w:color="auto" w:fill="auto"/>
            <w:vAlign w:val="center"/>
          </w:tcPr>
          <w:p w:rsidR="00974B16" w:rsidRDefault="00F26312" w:rsidP="00004BAE">
            <w:pPr>
              <w:pStyle w:val="NoSpacing"/>
              <w:jc w:val="center"/>
            </w:pPr>
            <w:r>
              <w:t>5.6%</w:t>
            </w:r>
          </w:p>
        </w:tc>
        <w:tc>
          <w:tcPr>
            <w:tcW w:w="990" w:type="dxa"/>
            <w:shd w:val="clear" w:color="auto" w:fill="auto"/>
            <w:vAlign w:val="center"/>
          </w:tcPr>
          <w:p w:rsidR="00974B16" w:rsidRDefault="00F26312" w:rsidP="00004BAE">
            <w:pPr>
              <w:pStyle w:val="NoSpacing"/>
              <w:jc w:val="center"/>
            </w:pPr>
            <w:r>
              <w:t>0.0%</w:t>
            </w:r>
          </w:p>
        </w:tc>
        <w:tc>
          <w:tcPr>
            <w:tcW w:w="990" w:type="dxa"/>
            <w:shd w:val="clear" w:color="auto" w:fill="auto"/>
            <w:vAlign w:val="center"/>
          </w:tcPr>
          <w:p w:rsidR="00974B16" w:rsidRDefault="00F26312" w:rsidP="00004BAE">
            <w:pPr>
              <w:pStyle w:val="NoSpacing"/>
              <w:jc w:val="center"/>
            </w:pPr>
            <w:r>
              <w:t>0.0%</w:t>
            </w:r>
          </w:p>
        </w:tc>
        <w:tc>
          <w:tcPr>
            <w:tcW w:w="990" w:type="dxa"/>
            <w:shd w:val="clear" w:color="auto" w:fill="auto"/>
            <w:vAlign w:val="center"/>
          </w:tcPr>
          <w:p w:rsidR="00974B16" w:rsidRDefault="00F26312" w:rsidP="00004BAE">
            <w:pPr>
              <w:pStyle w:val="NoSpacing"/>
              <w:jc w:val="center"/>
            </w:pPr>
            <w:r>
              <w:t>0.0%</w:t>
            </w:r>
          </w:p>
        </w:tc>
        <w:tc>
          <w:tcPr>
            <w:tcW w:w="990" w:type="dxa"/>
            <w:vAlign w:val="center"/>
          </w:tcPr>
          <w:p w:rsidR="00974B16" w:rsidRDefault="00F26312" w:rsidP="00004BAE">
            <w:pPr>
              <w:pStyle w:val="NoSpacing"/>
              <w:jc w:val="center"/>
            </w:pPr>
            <w:r>
              <w:t>0.0%</w:t>
            </w:r>
          </w:p>
        </w:tc>
        <w:tc>
          <w:tcPr>
            <w:tcW w:w="990" w:type="dxa"/>
            <w:shd w:val="clear" w:color="auto" w:fill="auto"/>
            <w:vAlign w:val="center"/>
          </w:tcPr>
          <w:p w:rsidR="00974B16" w:rsidRDefault="00F26312" w:rsidP="00004BAE">
            <w:pPr>
              <w:pStyle w:val="NoSpacing"/>
              <w:jc w:val="center"/>
            </w:pPr>
            <w:r>
              <w:t>0.0%</w:t>
            </w:r>
          </w:p>
        </w:tc>
        <w:tc>
          <w:tcPr>
            <w:tcW w:w="990" w:type="dxa"/>
            <w:shd w:val="clear" w:color="auto" w:fill="auto"/>
            <w:vAlign w:val="center"/>
          </w:tcPr>
          <w:p w:rsidR="00974B16" w:rsidRDefault="00F26312" w:rsidP="00004BAE">
            <w:pPr>
              <w:pStyle w:val="NoSpacing"/>
              <w:jc w:val="center"/>
            </w:pPr>
            <w:r>
              <w:t>2.3%</w:t>
            </w:r>
          </w:p>
        </w:tc>
        <w:tc>
          <w:tcPr>
            <w:tcW w:w="990" w:type="dxa"/>
            <w:shd w:val="clear" w:color="auto" w:fill="auto"/>
            <w:vAlign w:val="center"/>
          </w:tcPr>
          <w:p w:rsidR="00974B16" w:rsidRDefault="00EB132F" w:rsidP="00004BAE">
            <w:pPr>
              <w:pStyle w:val="NoSpacing"/>
              <w:jc w:val="center"/>
            </w:pPr>
            <w:r>
              <w:t>0.0%</w:t>
            </w:r>
          </w:p>
        </w:tc>
        <w:tc>
          <w:tcPr>
            <w:tcW w:w="990" w:type="dxa"/>
            <w:shd w:val="clear" w:color="auto" w:fill="auto"/>
            <w:vAlign w:val="center"/>
          </w:tcPr>
          <w:p w:rsidR="00974B16" w:rsidRDefault="00F26312" w:rsidP="00004BAE">
            <w:pPr>
              <w:pStyle w:val="NoSpacing"/>
              <w:jc w:val="center"/>
            </w:pPr>
            <w:r>
              <w:t>0.0%</w:t>
            </w:r>
          </w:p>
        </w:tc>
        <w:tc>
          <w:tcPr>
            <w:tcW w:w="990" w:type="dxa"/>
            <w:shd w:val="clear" w:color="auto" w:fill="auto"/>
            <w:vAlign w:val="center"/>
          </w:tcPr>
          <w:p w:rsidR="00974B16" w:rsidRDefault="00F26312" w:rsidP="00004BAE">
            <w:pPr>
              <w:pStyle w:val="NoSpacing"/>
              <w:jc w:val="center"/>
            </w:pPr>
            <w:r>
              <w:t>0.0%</w:t>
            </w:r>
          </w:p>
        </w:tc>
      </w:tr>
      <w:tr w:rsidR="00974B16" w:rsidTr="00004BAE">
        <w:tc>
          <w:tcPr>
            <w:tcW w:w="2898" w:type="dxa"/>
          </w:tcPr>
          <w:p w:rsidR="00974B16" w:rsidRDefault="00974B16" w:rsidP="00675D57">
            <w:pPr>
              <w:pStyle w:val="NoSpacing"/>
            </w:pPr>
            <w:r>
              <w:t>Other</w:t>
            </w:r>
          </w:p>
        </w:tc>
        <w:tc>
          <w:tcPr>
            <w:tcW w:w="990" w:type="dxa"/>
            <w:shd w:val="clear" w:color="auto" w:fill="auto"/>
            <w:vAlign w:val="center"/>
          </w:tcPr>
          <w:p w:rsidR="00974B16" w:rsidRDefault="00F26312" w:rsidP="00004BAE">
            <w:pPr>
              <w:pStyle w:val="NoSpacing"/>
              <w:jc w:val="center"/>
            </w:pPr>
            <w:r>
              <w:t>1.6%</w:t>
            </w:r>
          </w:p>
        </w:tc>
        <w:tc>
          <w:tcPr>
            <w:tcW w:w="990" w:type="dxa"/>
            <w:shd w:val="clear" w:color="auto" w:fill="auto"/>
            <w:vAlign w:val="center"/>
          </w:tcPr>
          <w:p w:rsidR="00974B16" w:rsidRDefault="00F26312" w:rsidP="00004BAE">
            <w:pPr>
              <w:pStyle w:val="NoSpacing"/>
              <w:jc w:val="center"/>
            </w:pPr>
            <w:r>
              <w:t>5.6%</w:t>
            </w:r>
          </w:p>
        </w:tc>
        <w:tc>
          <w:tcPr>
            <w:tcW w:w="990" w:type="dxa"/>
            <w:shd w:val="clear" w:color="auto" w:fill="auto"/>
            <w:vAlign w:val="center"/>
          </w:tcPr>
          <w:p w:rsidR="00974B16" w:rsidRDefault="00F26312" w:rsidP="00004BAE">
            <w:pPr>
              <w:pStyle w:val="NoSpacing"/>
              <w:jc w:val="center"/>
            </w:pPr>
            <w:r>
              <w:t>2.3%</w:t>
            </w:r>
          </w:p>
        </w:tc>
        <w:tc>
          <w:tcPr>
            <w:tcW w:w="990" w:type="dxa"/>
            <w:shd w:val="clear" w:color="auto" w:fill="auto"/>
            <w:vAlign w:val="center"/>
          </w:tcPr>
          <w:p w:rsidR="00974B16" w:rsidRDefault="00F26312" w:rsidP="00004BAE">
            <w:pPr>
              <w:pStyle w:val="NoSpacing"/>
              <w:jc w:val="center"/>
            </w:pPr>
            <w:r>
              <w:t>0.0%</w:t>
            </w:r>
          </w:p>
        </w:tc>
        <w:tc>
          <w:tcPr>
            <w:tcW w:w="990" w:type="dxa"/>
            <w:shd w:val="clear" w:color="auto" w:fill="auto"/>
            <w:vAlign w:val="center"/>
          </w:tcPr>
          <w:p w:rsidR="00974B16" w:rsidRDefault="00F26312" w:rsidP="00004BAE">
            <w:pPr>
              <w:pStyle w:val="NoSpacing"/>
              <w:jc w:val="center"/>
            </w:pPr>
            <w:r>
              <w:t>3.6%</w:t>
            </w:r>
          </w:p>
        </w:tc>
        <w:tc>
          <w:tcPr>
            <w:tcW w:w="990" w:type="dxa"/>
            <w:vAlign w:val="center"/>
          </w:tcPr>
          <w:p w:rsidR="00974B16" w:rsidRDefault="00F26312" w:rsidP="00004BAE">
            <w:pPr>
              <w:pStyle w:val="NoSpacing"/>
              <w:jc w:val="center"/>
            </w:pPr>
            <w:r>
              <w:t>0.0%</w:t>
            </w:r>
          </w:p>
        </w:tc>
        <w:tc>
          <w:tcPr>
            <w:tcW w:w="990" w:type="dxa"/>
            <w:shd w:val="clear" w:color="auto" w:fill="auto"/>
            <w:vAlign w:val="center"/>
          </w:tcPr>
          <w:p w:rsidR="00974B16" w:rsidRDefault="00F26312" w:rsidP="00004BAE">
            <w:pPr>
              <w:pStyle w:val="NoSpacing"/>
              <w:jc w:val="center"/>
            </w:pPr>
            <w:r>
              <w:t>0.0%</w:t>
            </w:r>
          </w:p>
        </w:tc>
        <w:tc>
          <w:tcPr>
            <w:tcW w:w="990" w:type="dxa"/>
            <w:shd w:val="clear" w:color="auto" w:fill="auto"/>
            <w:vAlign w:val="center"/>
          </w:tcPr>
          <w:p w:rsidR="00974B16" w:rsidRDefault="00F26312" w:rsidP="00004BAE">
            <w:pPr>
              <w:pStyle w:val="NoSpacing"/>
              <w:jc w:val="center"/>
            </w:pPr>
            <w:r>
              <w:t>4.7%</w:t>
            </w:r>
          </w:p>
        </w:tc>
        <w:tc>
          <w:tcPr>
            <w:tcW w:w="990" w:type="dxa"/>
            <w:shd w:val="clear" w:color="auto" w:fill="auto"/>
            <w:vAlign w:val="center"/>
          </w:tcPr>
          <w:p w:rsidR="00974B16" w:rsidRDefault="00EB132F" w:rsidP="00004BAE">
            <w:pPr>
              <w:pStyle w:val="NoSpacing"/>
              <w:jc w:val="center"/>
            </w:pPr>
            <w:r>
              <w:t>3.7%</w:t>
            </w:r>
          </w:p>
        </w:tc>
        <w:tc>
          <w:tcPr>
            <w:tcW w:w="990" w:type="dxa"/>
            <w:shd w:val="clear" w:color="auto" w:fill="auto"/>
            <w:vAlign w:val="center"/>
          </w:tcPr>
          <w:p w:rsidR="00974B16" w:rsidRDefault="00F26312" w:rsidP="00004BAE">
            <w:pPr>
              <w:pStyle w:val="NoSpacing"/>
              <w:jc w:val="center"/>
            </w:pPr>
            <w:r>
              <w:t>0.0%</w:t>
            </w:r>
          </w:p>
        </w:tc>
        <w:tc>
          <w:tcPr>
            <w:tcW w:w="990" w:type="dxa"/>
            <w:shd w:val="clear" w:color="auto" w:fill="auto"/>
            <w:vAlign w:val="center"/>
          </w:tcPr>
          <w:p w:rsidR="00974B16" w:rsidRDefault="00F26312" w:rsidP="00004BAE">
            <w:pPr>
              <w:pStyle w:val="NoSpacing"/>
              <w:jc w:val="center"/>
            </w:pPr>
            <w:r>
              <w:t>5.3%</w:t>
            </w:r>
          </w:p>
        </w:tc>
      </w:tr>
    </w:tbl>
    <w:p w:rsidR="00252E09" w:rsidRPr="00C8456E" w:rsidRDefault="00252E09" w:rsidP="00252E09">
      <w:pPr>
        <w:pStyle w:val="NoSpacing"/>
        <w:jc w:val="center"/>
        <w:rPr>
          <w:i/>
        </w:rPr>
      </w:pPr>
      <w:r w:rsidRPr="00C8456E">
        <w:rPr>
          <w:i/>
        </w:rPr>
        <w:t>* The highest response category for each clinical grouping is highlighted in orange.</w:t>
      </w:r>
    </w:p>
    <w:p w:rsidR="00252E09" w:rsidRDefault="00252E09" w:rsidP="00252E09"/>
    <w:p w:rsidR="00252E09" w:rsidRDefault="00F06F10" w:rsidP="00252E09">
      <w:pPr>
        <w:rPr>
          <w:rFonts w:ascii="Calibri" w:eastAsia="Calibri" w:hAnsi="Calibri" w:cs="Times New Roman"/>
        </w:rPr>
      </w:pPr>
      <w:r>
        <w:rPr>
          <w:rFonts w:ascii="Calibri" w:eastAsia="Calibri" w:hAnsi="Calibri" w:cs="Times New Roman"/>
        </w:rPr>
        <w:t>More than two-thirds</w:t>
      </w:r>
      <w:r w:rsidR="00123787">
        <w:rPr>
          <w:rFonts w:ascii="Calibri" w:eastAsia="Calibri" w:hAnsi="Calibri" w:cs="Times New Roman"/>
        </w:rPr>
        <w:t xml:space="preserve"> (</w:t>
      </w:r>
      <w:r>
        <w:rPr>
          <w:rFonts w:ascii="Calibri" w:eastAsia="Calibri" w:hAnsi="Calibri" w:cs="Times New Roman"/>
        </w:rPr>
        <w:t>68.8</w:t>
      </w:r>
      <w:r w:rsidR="00123787">
        <w:rPr>
          <w:rFonts w:ascii="Calibri" w:eastAsia="Calibri" w:hAnsi="Calibri" w:cs="Times New Roman"/>
        </w:rPr>
        <w:t xml:space="preserve">%) of surveyed patients </w:t>
      </w:r>
      <w:r w:rsidR="00D6089F">
        <w:rPr>
          <w:rFonts w:ascii="Calibri" w:eastAsia="Calibri" w:hAnsi="Calibri" w:cs="Times New Roman"/>
        </w:rPr>
        <w:t xml:space="preserve">in the </w:t>
      </w:r>
      <w:r w:rsidR="006C7736">
        <w:rPr>
          <w:rFonts w:ascii="Calibri" w:eastAsia="Calibri" w:hAnsi="Calibri" w:cs="Times New Roman"/>
        </w:rPr>
        <w:t>Graduate Periodontics</w:t>
      </w:r>
      <w:r w:rsidR="00D6089F">
        <w:rPr>
          <w:rFonts w:ascii="Calibri" w:eastAsia="Calibri" w:hAnsi="Calibri" w:cs="Times New Roman"/>
        </w:rPr>
        <w:t xml:space="preserve"> clinic and </w:t>
      </w:r>
      <w:r>
        <w:rPr>
          <w:rFonts w:ascii="Calibri" w:eastAsia="Calibri" w:hAnsi="Calibri" w:cs="Times New Roman"/>
        </w:rPr>
        <w:t>about two-fifths</w:t>
      </w:r>
      <w:r w:rsidR="00D6089F">
        <w:rPr>
          <w:rFonts w:ascii="Calibri" w:eastAsia="Calibri" w:hAnsi="Calibri" w:cs="Times New Roman"/>
        </w:rPr>
        <w:t xml:space="preserve"> </w:t>
      </w:r>
      <w:r w:rsidR="00123787">
        <w:rPr>
          <w:rFonts w:ascii="Calibri" w:eastAsia="Calibri" w:hAnsi="Calibri" w:cs="Times New Roman"/>
        </w:rPr>
        <w:t xml:space="preserve">in the </w:t>
      </w:r>
      <w:r>
        <w:rPr>
          <w:rFonts w:ascii="Calibri" w:eastAsia="Calibri" w:hAnsi="Calibri" w:cs="Times New Roman"/>
        </w:rPr>
        <w:t>Pediatrics</w:t>
      </w:r>
      <w:r w:rsidR="006C7736">
        <w:rPr>
          <w:rFonts w:ascii="Calibri" w:eastAsia="Calibri" w:hAnsi="Calibri" w:cs="Times New Roman"/>
        </w:rPr>
        <w:t xml:space="preserve"> (</w:t>
      </w:r>
      <w:r>
        <w:rPr>
          <w:rFonts w:ascii="Calibri" w:eastAsia="Calibri" w:hAnsi="Calibri" w:cs="Times New Roman"/>
        </w:rPr>
        <w:t>44.4</w:t>
      </w:r>
      <w:r w:rsidR="006C7736">
        <w:rPr>
          <w:rFonts w:ascii="Calibri" w:eastAsia="Calibri" w:hAnsi="Calibri" w:cs="Times New Roman"/>
        </w:rPr>
        <w:t>%) and Faculty Practice (3</w:t>
      </w:r>
      <w:r>
        <w:rPr>
          <w:rFonts w:ascii="Calibri" w:eastAsia="Calibri" w:hAnsi="Calibri" w:cs="Times New Roman"/>
        </w:rPr>
        <w:t>8.9</w:t>
      </w:r>
      <w:r w:rsidR="006C7736">
        <w:rPr>
          <w:rFonts w:ascii="Calibri" w:eastAsia="Calibri" w:hAnsi="Calibri" w:cs="Times New Roman"/>
        </w:rPr>
        <w:t xml:space="preserve">%) </w:t>
      </w:r>
      <w:r w:rsidR="00123787">
        <w:rPr>
          <w:rFonts w:ascii="Calibri" w:eastAsia="Calibri" w:hAnsi="Calibri" w:cs="Times New Roman"/>
        </w:rPr>
        <w:t>clinic</w:t>
      </w:r>
      <w:r w:rsidR="006C7736">
        <w:rPr>
          <w:rFonts w:ascii="Calibri" w:eastAsia="Calibri" w:hAnsi="Calibri" w:cs="Times New Roman"/>
        </w:rPr>
        <w:t xml:space="preserve">s, along with </w:t>
      </w:r>
      <w:r>
        <w:rPr>
          <w:rFonts w:ascii="Calibri" w:eastAsia="Calibri" w:hAnsi="Calibri" w:cs="Times New Roman"/>
        </w:rPr>
        <w:t xml:space="preserve">one-quarter </w:t>
      </w:r>
      <w:r w:rsidR="006C7736">
        <w:rPr>
          <w:rFonts w:ascii="Calibri" w:eastAsia="Calibri" w:hAnsi="Calibri" w:cs="Times New Roman"/>
        </w:rPr>
        <w:t xml:space="preserve">from the </w:t>
      </w:r>
      <w:r>
        <w:rPr>
          <w:rFonts w:ascii="Calibri" w:eastAsia="Calibri" w:hAnsi="Calibri" w:cs="Times New Roman"/>
        </w:rPr>
        <w:t>Hialeah</w:t>
      </w:r>
      <w:r w:rsidR="00EB132F">
        <w:rPr>
          <w:rFonts w:ascii="Calibri" w:eastAsia="Calibri" w:hAnsi="Calibri" w:cs="Times New Roman"/>
        </w:rPr>
        <w:t xml:space="preserve"> (25.5%) and Oral Surgery (24.1%) clinics</w:t>
      </w:r>
      <w:r w:rsidR="006C7736">
        <w:rPr>
          <w:rFonts w:ascii="Calibri" w:eastAsia="Calibri" w:hAnsi="Calibri" w:cs="Times New Roman"/>
        </w:rPr>
        <w:t>,</w:t>
      </w:r>
      <w:r w:rsidR="00123787">
        <w:rPr>
          <w:rFonts w:ascii="Calibri" w:eastAsia="Calibri" w:hAnsi="Calibri" w:cs="Times New Roman"/>
        </w:rPr>
        <w:t xml:space="preserve"> sa</w:t>
      </w:r>
      <w:r w:rsidR="00D6089F">
        <w:rPr>
          <w:rFonts w:ascii="Calibri" w:eastAsia="Calibri" w:hAnsi="Calibri" w:cs="Times New Roman"/>
        </w:rPr>
        <w:t>id</w:t>
      </w:r>
      <w:r w:rsidR="00123787">
        <w:rPr>
          <w:rFonts w:ascii="Calibri" w:eastAsia="Calibri" w:hAnsi="Calibri" w:cs="Times New Roman"/>
        </w:rPr>
        <w:t xml:space="preserve"> that the most important reason they come to the UF College of Dentistry is that they “trust the UF College of Dentistry.”  </w:t>
      </w:r>
      <w:r>
        <w:rPr>
          <w:rFonts w:ascii="Calibri" w:eastAsia="Calibri" w:hAnsi="Calibri" w:cs="Times New Roman"/>
        </w:rPr>
        <w:t xml:space="preserve">About two-fifths </w:t>
      </w:r>
      <w:r w:rsidR="00D6089F">
        <w:rPr>
          <w:rFonts w:ascii="Calibri" w:eastAsia="Calibri" w:hAnsi="Calibri" w:cs="Times New Roman"/>
        </w:rPr>
        <w:t xml:space="preserve">of respondents in the </w:t>
      </w:r>
      <w:r w:rsidR="00123787">
        <w:rPr>
          <w:rFonts w:ascii="Calibri" w:eastAsia="Calibri" w:hAnsi="Calibri" w:cs="Times New Roman"/>
        </w:rPr>
        <w:t>Student Clinics</w:t>
      </w:r>
      <w:r>
        <w:rPr>
          <w:rFonts w:ascii="Calibri" w:eastAsia="Calibri" w:hAnsi="Calibri" w:cs="Times New Roman"/>
        </w:rPr>
        <w:t xml:space="preserve"> (40.5%) and the St. Pete clinic (39.5%)</w:t>
      </w:r>
      <w:r w:rsidR="006C7736">
        <w:rPr>
          <w:rFonts w:ascii="Calibri" w:eastAsia="Calibri" w:hAnsi="Calibri" w:cs="Times New Roman"/>
        </w:rPr>
        <w:t xml:space="preserve"> and about one-</w:t>
      </w:r>
      <w:r>
        <w:rPr>
          <w:rFonts w:ascii="Calibri" w:eastAsia="Calibri" w:hAnsi="Calibri" w:cs="Times New Roman"/>
        </w:rPr>
        <w:t>third</w:t>
      </w:r>
      <w:r w:rsidR="006C7736">
        <w:rPr>
          <w:rFonts w:ascii="Calibri" w:eastAsia="Calibri" w:hAnsi="Calibri" w:cs="Times New Roman"/>
        </w:rPr>
        <w:t xml:space="preserve"> of those in the </w:t>
      </w:r>
      <w:r w:rsidR="00123787">
        <w:rPr>
          <w:rFonts w:ascii="Calibri" w:eastAsia="Calibri" w:hAnsi="Calibri" w:cs="Times New Roman"/>
        </w:rPr>
        <w:t xml:space="preserve">Graduate </w:t>
      </w:r>
      <w:r w:rsidR="00D6089F">
        <w:rPr>
          <w:rFonts w:ascii="Calibri" w:eastAsia="Calibri" w:hAnsi="Calibri" w:cs="Times New Roman"/>
        </w:rPr>
        <w:t xml:space="preserve">Prosthodontics </w:t>
      </w:r>
      <w:r w:rsidR="00123787">
        <w:rPr>
          <w:rFonts w:ascii="Calibri" w:eastAsia="Calibri" w:hAnsi="Calibri" w:cs="Times New Roman"/>
        </w:rPr>
        <w:t>clinic (</w:t>
      </w:r>
      <w:r>
        <w:rPr>
          <w:rFonts w:ascii="Calibri" w:eastAsia="Calibri" w:hAnsi="Calibri" w:cs="Times New Roman"/>
        </w:rPr>
        <w:t>32</w:t>
      </w:r>
      <w:r w:rsidR="006C7736">
        <w:rPr>
          <w:rFonts w:ascii="Calibri" w:eastAsia="Calibri" w:hAnsi="Calibri" w:cs="Times New Roman"/>
        </w:rPr>
        <w:t>.1</w:t>
      </w:r>
      <w:r w:rsidR="00123787">
        <w:rPr>
          <w:rFonts w:ascii="Calibri" w:eastAsia="Calibri" w:hAnsi="Calibri" w:cs="Times New Roman"/>
        </w:rPr>
        <w:t>%)</w:t>
      </w:r>
      <w:r w:rsidR="006C7736">
        <w:rPr>
          <w:rFonts w:ascii="Calibri" w:eastAsia="Calibri" w:hAnsi="Calibri" w:cs="Times New Roman"/>
        </w:rPr>
        <w:t xml:space="preserve"> </w:t>
      </w:r>
      <w:r w:rsidR="00123787">
        <w:rPr>
          <w:rFonts w:ascii="Calibri" w:eastAsia="Calibri" w:hAnsi="Calibri" w:cs="Times New Roman"/>
        </w:rPr>
        <w:t>sa</w:t>
      </w:r>
      <w:r w:rsidR="00D6089F">
        <w:rPr>
          <w:rFonts w:ascii="Calibri" w:eastAsia="Calibri" w:hAnsi="Calibri" w:cs="Times New Roman"/>
        </w:rPr>
        <w:t>id</w:t>
      </w:r>
      <w:r w:rsidR="00123787">
        <w:rPr>
          <w:rFonts w:ascii="Calibri" w:eastAsia="Calibri" w:hAnsi="Calibri" w:cs="Times New Roman"/>
        </w:rPr>
        <w:t xml:space="preserve"> that their most important reason for coming to the College for care is that the “cost is less expensive than a private dentist.”</w:t>
      </w:r>
    </w:p>
    <w:p w:rsidR="00A1128A" w:rsidRDefault="00A1128A" w:rsidP="00A1128A">
      <w:pPr>
        <w:pStyle w:val="NoSpacing"/>
      </w:pPr>
    </w:p>
    <w:p w:rsidR="00A1128A" w:rsidRPr="00A1128A" w:rsidRDefault="00A1128A" w:rsidP="00A1128A">
      <w:pPr>
        <w:pStyle w:val="NoSpacing"/>
      </w:pPr>
      <w:r>
        <w:t xml:space="preserve">More than </w:t>
      </w:r>
      <w:r w:rsidR="00F06F10">
        <w:t>four</w:t>
      </w:r>
      <w:r w:rsidR="006C7736">
        <w:t>-fifths (</w:t>
      </w:r>
      <w:r w:rsidR="00F06F10">
        <w:t>81.3</w:t>
      </w:r>
      <w:r w:rsidR="006C7736">
        <w:t>%)</w:t>
      </w:r>
      <w:r w:rsidR="00D6089F">
        <w:t xml:space="preserve"> </w:t>
      </w:r>
      <w:r>
        <w:t xml:space="preserve">of the surveyed patients from </w:t>
      </w:r>
      <w:r w:rsidR="006C7736">
        <w:t>Oral Medicine</w:t>
      </w:r>
      <w:r w:rsidR="00F06F10">
        <w:t>, two-fifths (40.9%) of those from Graduate Endodontics, and one-fifth (20.9%) from Orthodontics</w:t>
      </w:r>
      <w:r>
        <w:t xml:space="preserve"> sa</w:t>
      </w:r>
      <w:r w:rsidR="00D6089F">
        <w:t>id</w:t>
      </w:r>
      <w:r>
        <w:t xml:space="preserve"> their most important reason for coming to the College for dental care is that they were “referred here.”</w:t>
      </w:r>
    </w:p>
    <w:p w:rsidR="00FD67E6" w:rsidRDefault="00FD67E6" w:rsidP="00FD67E6">
      <w:pPr>
        <w:pStyle w:val="Heading1"/>
      </w:pPr>
      <w:bookmarkStart w:id="15" w:name="_Toc377727087"/>
      <w:r>
        <w:lastRenderedPageBreak/>
        <w:t>Patient Services</w:t>
      </w:r>
      <w:bookmarkEnd w:id="15"/>
    </w:p>
    <w:p w:rsidR="00705084" w:rsidRDefault="00FD67E6" w:rsidP="00FD67E6">
      <w:pPr>
        <w:pStyle w:val="Heading2"/>
      </w:pPr>
      <w:bookmarkStart w:id="16" w:name="_Toc377727088"/>
      <w:r>
        <w:t xml:space="preserve">Length of Time to </w:t>
      </w:r>
      <w:r w:rsidR="00BE0C97">
        <w:t>First Appointment</w:t>
      </w:r>
      <w:bookmarkEnd w:id="16"/>
    </w:p>
    <w:p w:rsidR="00FD67E6" w:rsidRPr="00B3374E" w:rsidRDefault="00FD67E6" w:rsidP="00FD67E6">
      <w:pPr>
        <w:rPr>
          <w:sz w:val="16"/>
          <w:szCs w:val="16"/>
        </w:rPr>
      </w:pPr>
    </w:p>
    <w:p w:rsidR="00FD67E6" w:rsidRPr="00FD67E6" w:rsidRDefault="00FD67E6" w:rsidP="00FD67E6">
      <w:pPr>
        <w:pStyle w:val="NoSpacing"/>
        <w:jc w:val="center"/>
      </w:pPr>
      <w:r>
        <w:t>Patients were asked: “</w:t>
      </w:r>
      <w:r w:rsidRPr="00FD67E6">
        <w:rPr>
          <w:i/>
        </w:rPr>
        <w:t>How long after initial contact, did it take to get your first appointment?</w:t>
      </w:r>
      <w:r>
        <w:t>”</w:t>
      </w:r>
    </w:p>
    <w:p w:rsidR="00FD67E6" w:rsidRPr="00B3374E" w:rsidRDefault="00FD67E6" w:rsidP="00705084">
      <w:pPr>
        <w:pStyle w:val="NoSpacing"/>
        <w:rPr>
          <w:sz w:val="16"/>
          <w:szCs w:val="16"/>
        </w:rPr>
      </w:pPr>
    </w:p>
    <w:p w:rsidR="00FD67E6" w:rsidRDefault="00BE0C97" w:rsidP="00FD67E6">
      <w:pPr>
        <w:pStyle w:val="NoSpacing"/>
        <w:jc w:val="center"/>
      </w:pPr>
      <w:r w:rsidRPr="00BE0C97">
        <w:rPr>
          <w:noProof/>
        </w:rPr>
        <w:drawing>
          <wp:inline distT="0" distB="0" distL="0" distR="0">
            <wp:extent cx="8286750" cy="4019550"/>
            <wp:effectExtent l="19050" t="0" r="19050" b="0"/>
            <wp:docPr id="2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3374E" w:rsidRPr="00B3374E" w:rsidRDefault="00B3374E" w:rsidP="001D38FA">
      <w:pPr>
        <w:rPr>
          <w:sz w:val="16"/>
          <w:szCs w:val="16"/>
        </w:rPr>
      </w:pPr>
    </w:p>
    <w:p w:rsidR="001D38FA" w:rsidRDefault="009D321B" w:rsidP="001D38FA">
      <w:r>
        <w:t>More than four-fifths</w:t>
      </w:r>
      <w:r w:rsidR="00B3374E">
        <w:t xml:space="preserve"> </w:t>
      </w:r>
      <w:r w:rsidR="001D38FA">
        <w:t xml:space="preserve">of the patients who completed surveys at the </w:t>
      </w:r>
      <w:r w:rsidR="00075DBF">
        <w:t>Hialeah (94.6%) and</w:t>
      </w:r>
      <w:r>
        <w:t xml:space="preserve"> </w:t>
      </w:r>
      <w:r w:rsidR="00B3374E">
        <w:t>St. Pete</w:t>
      </w:r>
      <w:r w:rsidR="00075DBF">
        <w:t xml:space="preserve"> (80.9%) </w:t>
      </w:r>
      <w:r w:rsidR="00B3374E">
        <w:t>clinic</w:t>
      </w:r>
      <w:r w:rsidR="00075DBF">
        <w:t xml:space="preserve">s </w:t>
      </w:r>
      <w:r w:rsidR="001D38FA">
        <w:t xml:space="preserve">waited less than two weeks after their initial contact until their first appointment.  </w:t>
      </w:r>
      <w:r w:rsidR="00ED292D">
        <w:t xml:space="preserve">The highest percentage for the longest wait time (more than eight weeks) was for patients in the </w:t>
      </w:r>
      <w:r w:rsidR="00075DBF">
        <w:t>Orthodontics</w:t>
      </w:r>
      <w:r w:rsidR="00ED292D">
        <w:t xml:space="preserve"> cl</w:t>
      </w:r>
      <w:r w:rsidR="00B3374E">
        <w:t xml:space="preserve">inic – </w:t>
      </w:r>
      <w:r>
        <w:t xml:space="preserve">about </w:t>
      </w:r>
      <w:r w:rsidR="00B3374E">
        <w:t>one-</w:t>
      </w:r>
      <w:r w:rsidR="00075DBF">
        <w:t>fifth</w:t>
      </w:r>
      <w:r w:rsidR="00B3374E">
        <w:t xml:space="preserve"> (</w:t>
      </w:r>
      <w:r>
        <w:t>1</w:t>
      </w:r>
      <w:r w:rsidR="00075DBF">
        <w:t>8.9</w:t>
      </w:r>
      <w:r w:rsidR="00ED292D">
        <w:t xml:space="preserve">%) waited more than eight weeks. </w:t>
      </w:r>
      <w:r w:rsidR="001D38FA">
        <w:t xml:space="preserve"> </w:t>
      </w:r>
    </w:p>
    <w:p w:rsidR="00FD67E6" w:rsidRDefault="00FD67E6" w:rsidP="00FD67E6">
      <w:pPr>
        <w:pStyle w:val="Heading2"/>
      </w:pPr>
      <w:bookmarkStart w:id="17" w:name="_Toc377727089"/>
      <w:r>
        <w:lastRenderedPageBreak/>
        <w:t>Time Spent, Directions</w:t>
      </w:r>
      <w:r w:rsidR="005F03BC">
        <w:t xml:space="preserve">, &amp; Registration </w:t>
      </w:r>
      <w:bookmarkEnd w:id="17"/>
      <w:r w:rsidR="003062A6">
        <w:t>Signs</w:t>
      </w:r>
    </w:p>
    <w:p w:rsidR="00FD67E6" w:rsidRDefault="00FD67E6" w:rsidP="00FD67E6"/>
    <w:p w:rsidR="00FD67E6" w:rsidRDefault="00FD67E6" w:rsidP="005F03BC">
      <w:pPr>
        <w:pStyle w:val="NoSpacing"/>
        <w:jc w:val="center"/>
      </w:pPr>
      <w:r>
        <w:t>Patients were next asked a series of questions:</w:t>
      </w:r>
    </w:p>
    <w:p w:rsidR="005F03BC" w:rsidRPr="005F03BC" w:rsidRDefault="005F03BC" w:rsidP="005F03BC">
      <w:pPr>
        <w:pStyle w:val="NoSpacing"/>
        <w:jc w:val="center"/>
        <w:rPr>
          <w:sz w:val="16"/>
          <w:szCs w:val="16"/>
        </w:rPr>
      </w:pPr>
    </w:p>
    <w:p w:rsidR="00FD67E6" w:rsidRDefault="00FD67E6" w:rsidP="005F03BC">
      <w:pPr>
        <w:pStyle w:val="NoSpacing"/>
        <w:jc w:val="center"/>
        <w:rPr>
          <w:i/>
        </w:rPr>
      </w:pPr>
      <w:r w:rsidRPr="005F03BC">
        <w:rPr>
          <w:i/>
        </w:rPr>
        <w:t>“Do you feel your time is being well spent with our dental clinic?”</w:t>
      </w:r>
    </w:p>
    <w:p w:rsidR="00106308" w:rsidRDefault="00106308" w:rsidP="005F03BC">
      <w:pPr>
        <w:pStyle w:val="NoSpacing"/>
        <w:jc w:val="center"/>
      </w:pPr>
    </w:p>
    <w:p w:rsidR="00106308" w:rsidRPr="00106308" w:rsidRDefault="00106308" w:rsidP="005F03BC">
      <w:pPr>
        <w:pStyle w:val="NoSpacing"/>
        <w:jc w:val="center"/>
      </w:pPr>
      <w:r w:rsidRPr="00106308">
        <w:rPr>
          <w:noProof/>
        </w:rPr>
        <w:drawing>
          <wp:inline distT="0" distB="0" distL="0" distR="0">
            <wp:extent cx="8410575" cy="3943350"/>
            <wp:effectExtent l="19050" t="0" r="9525" b="0"/>
            <wp:docPr id="2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06308" w:rsidRDefault="00106308" w:rsidP="005F03BC">
      <w:pPr>
        <w:pStyle w:val="NoSpacing"/>
        <w:jc w:val="center"/>
        <w:rPr>
          <w:i/>
        </w:rPr>
      </w:pPr>
    </w:p>
    <w:p w:rsidR="001D38FA" w:rsidRDefault="001D38FA" w:rsidP="001D38FA">
      <w:r>
        <w:t>Almost all of the patients who completed the survey indicate</w:t>
      </w:r>
      <w:r w:rsidR="00DA63BF">
        <w:t>d</w:t>
      </w:r>
      <w:r>
        <w:t xml:space="preserve"> that they feel that their time is well spent in the dental clinic</w:t>
      </w:r>
      <w:r w:rsidR="00ED292D">
        <w:t>s</w:t>
      </w:r>
      <w:r>
        <w:t xml:space="preserve">.  </w:t>
      </w:r>
    </w:p>
    <w:p w:rsidR="00373B67" w:rsidRPr="001D38FA" w:rsidRDefault="00373B67">
      <w:pPr>
        <w:spacing w:after="200" w:line="276" w:lineRule="auto"/>
      </w:pPr>
    </w:p>
    <w:p w:rsidR="00106308" w:rsidRDefault="00794195" w:rsidP="00A75FBE">
      <w:pPr>
        <w:spacing w:after="200" w:line="276" w:lineRule="auto"/>
      </w:pPr>
      <w:r>
        <w:rPr>
          <w:i/>
        </w:rPr>
        <w:br w:type="page"/>
      </w:r>
      <w:r w:rsidR="00FD67E6" w:rsidRPr="005F03BC">
        <w:rPr>
          <w:i/>
        </w:rPr>
        <w:lastRenderedPageBreak/>
        <w:t xml:space="preserve">“Were you given good directions for finding </w:t>
      </w:r>
      <w:r w:rsidR="00A75FBE">
        <w:rPr>
          <w:i/>
        </w:rPr>
        <w:t>us</w:t>
      </w:r>
      <w:r w:rsidR="00FD67E6" w:rsidRPr="005F03BC">
        <w:rPr>
          <w:i/>
        </w:rPr>
        <w:t>?”</w:t>
      </w:r>
    </w:p>
    <w:p w:rsidR="00106308" w:rsidRDefault="00106308" w:rsidP="005F03BC">
      <w:pPr>
        <w:pStyle w:val="NoSpacing"/>
        <w:jc w:val="center"/>
      </w:pPr>
      <w:r w:rsidRPr="00106308">
        <w:rPr>
          <w:noProof/>
        </w:rPr>
        <w:drawing>
          <wp:inline distT="0" distB="0" distL="0" distR="0">
            <wp:extent cx="8315325" cy="4381500"/>
            <wp:effectExtent l="19050" t="0" r="9525" b="0"/>
            <wp:docPr id="2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06308" w:rsidRPr="00106308" w:rsidRDefault="00106308" w:rsidP="005F03BC">
      <w:pPr>
        <w:pStyle w:val="NoSpacing"/>
        <w:jc w:val="center"/>
      </w:pPr>
    </w:p>
    <w:p w:rsidR="001D38FA" w:rsidRDefault="001D38FA" w:rsidP="001D38FA">
      <w:r>
        <w:t>Almost all of the patients indicate</w:t>
      </w:r>
      <w:r w:rsidR="00DA63BF">
        <w:t>d</w:t>
      </w:r>
      <w:r>
        <w:t xml:space="preserve"> that they </w:t>
      </w:r>
      <w:r w:rsidR="00556F9B">
        <w:t xml:space="preserve">were given </w:t>
      </w:r>
      <w:r>
        <w:t>good directions to find the clinic</w:t>
      </w:r>
      <w:r w:rsidR="00ED292D">
        <w:t>s</w:t>
      </w:r>
      <w:r w:rsidR="00A75FBE">
        <w:t>.</w:t>
      </w:r>
      <w:r w:rsidR="00ED292D">
        <w:t xml:space="preserve">  </w:t>
      </w:r>
    </w:p>
    <w:p w:rsidR="00373B67" w:rsidRDefault="00373B67">
      <w:pPr>
        <w:spacing w:after="200" w:line="276" w:lineRule="auto"/>
        <w:rPr>
          <w:i/>
        </w:rPr>
      </w:pPr>
      <w:r>
        <w:rPr>
          <w:i/>
        </w:rPr>
        <w:br w:type="page"/>
      </w:r>
    </w:p>
    <w:p w:rsidR="004F37F2" w:rsidRDefault="003062A6" w:rsidP="004F37F2">
      <w:pPr>
        <w:pStyle w:val="NoSpacing"/>
        <w:jc w:val="center"/>
        <w:rPr>
          <w:i/>
        </w:rPr>
      </w:pPr>
      <w:r w:rsidRPr="005F03BC">
        <w:rPr>
          <w:i/>
        </w:rPr>
        <w:lastRenderedPageBreak/>
        <w:t xml:space="preserve"> </w:t>
      </w:r>
      <w:r w:rsidR="004F37F2" w:rsidRPr="005F03BC">
        <w:rPr>
          <w:i/>
        </w:rPr>
        <w:t xml:space="preserve">“Were </w:t>
      </w:r>
      <w:r w:rsidR="004F37F2">
        <w:rPr>
          <w:i/>
        </w:rPr>
        <w:t>the signs helpful</w:t>
      </w:r>
      <w:r w:rsidR="004F37F2" w:rsidRPr="005F03BC">
        <w:rPr>
          <w:i/>
        </w:rPr>
        <w:t xml:space="preserve"> for finding </w:t>
      </w:r>
      <w:r w:rsidR="004F37F2">
        <w:rPr>
          <w:i/>
        </w:rPr>
        <w:t xml:space="preserve">dental </w:t>
      </w:r>
      <w:r w:rsidR="004F37F2" w:rsidRPr="005F03BC">
        <w:rPr>
          <w:i/>
        </w:rPr>
        <w:t>patient registration?”</w:t>
      </w:r>
    </w:p>
    <w:p w:rsidR="004F37F2" w:rsidRDefault="004F37F2" w:rsidP="004F37F2">
      <w:pPr>
        <w:pStyle w:val="NoSpacing"/>
        <w:jc w:val="center"/>
        <w:rPr>
          <w:i/>
        </w:rPr>
      </w:pPr>
    </w:p>
    <w:p w:rsidR="004F37F2" w:rsidRPr="00106308" w:rsidRDefault="004F37F2" w:rsidP="004F37F2">
      <w:pPr>
        <w:pStyle w:val="NoSpacing"/>
        <w:jc w:val="center"/>
      </w:pPr>
      <w:r w:rsidRPr="00106308">
        <w:rPr>
          <w:noProof/>
        </w:rPr>
        <w:drawing>
          <wp:inline distT="0" distB="0" distL="0" distR="0">
            <wp:extent cx="8505825" cy="4514850"/>
            <wp:effectExtent l="19050" t="0" r="9525" b="0"/>
            <wp:docPr id="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F37F2" w:rsidRDefault="004F37F2" w:rsidP="004F37F2">
      <w:pPr>
        <w:pStyle w:val="NoSpacing"/>
      </w:pPr>
    </w:p>
    <w:p w:rsidR="004F37F2" w:rsidRDefault="004F37F2" w:rsidP="004F37F2">
      <w:r>
        <w:t>Almost all of the patients indicated that the</w:t>
      </w:r>
      <w:r w:rsidR="009D7923">
        <w:t xml:space="preserve"> signs </w:t>
      </w:r>
      <w:r>
        <w:t xml:space="preserve">were </w:t>
      </w:r>
      <w:r w:rsidR="009D7923">
        <w:t xml:space="preserve">helpful </w:t>
      </w:r>
      <w:r>
        <w:t xml:space="preserve">for finding </w:t>
      </w:r>
      <w:r w:rsidR="009D7923">
        <w:t xml:space="preserve">dental </w:t>
      </w:r>
      <w:r>
        <w:t xml:space="preserve">patient registration.  </w:t>
      </w:r>
    </w:p>
    <w:p w:rsidR="00FD67E6" w:rsidRDefault="00FD67E6" w:rsidP="001D38FA">
      <w:pPr>
        <w:pStyle w:val="NoSpacing"/>
      </w:pPr>
    </w:p>
    <w:p w:rsidR="005F03BC" w:rsidRDefault="005F03BC" w:rsidP="005F03BC">
      <w:pPr>
        <w:pStyle w:val="NoSpacing"/>
      </w:pPr>
    </w:p>
    <w:p w:rsidR="005F03BC" w:rsidRDefault="005F03BC">
      <w:pPr>
        <w:spacing w:after="200" w:line="276" w:lineRule="auto"/>
      </w:pPr>
      <w:r>
        <w:br w:type="page"/>
      </w:r>
    </w:p>
    <w:p w:rsidR="005F03BC" w:rsidRDefault="005F03BC" w:rsidP="005F03BC">
      <w:pPr>
        <w:pStyle w:val="Heading2"/>
      </w:pPr>
      <w:bookmarkStart w:id="18" w:name="_Toc377727090"/>
      <w:r>
        <w:lastRenderedPageBreak/>
        <w:t>Appearance of R</w:t>
      </w:r>
      <w:r w:rsidR="002D07A3">
        <w:t>eception Area</w:t>
      </w:r>
      <w:bookmarkEnd w:id="18"/>
      <w:r w:rsidR="002D07A3">
        <w:t xml:space="preserve"> </w:t>
      </w:r>
    </w:p>
    <w:p w:rsidR="005F03BC" w:rsidRDefault="005F03BC" w:rsidP="005F03BC">
      <w:pPr>
        <w:pStyle w:val="NoSpacing"/>
      </w:pPr>
    </w:p>
    <w:p w:rsidR="005F03BC" w:rsidRDefault="005F03BC" w:rsidP="005F03BC">
      <w:pPr>
        <w:pStyle w:val="NoSpacing"/>
        <w:jc w:val="center"/>
      </w:pPr>
      <w:r>
        <w:t>Patients were asked: “</w:t>
      </w:r>
      <w:r w:rsidRPr="005F03BC">
        <w:rPr>
          <w:i/>
        </w:rPr>
        <w:t>How would you rate the appearance of our pat</w:t>
      </w:r>
      <w:r w:rsidR="009D7923">
        <w:rPr>
          <w:i/>
        </w:rPr>
        <w:t>ient reception are</w:t>
      </w:r>
      <w:r w:rsidRPr="005F03BC">
        <w:rPr>
          <w:i/>
        </w:rPr>
        <w:t>?</w:t>
      </w:r>
      <w:r>
        <w:t>”</w:t>
      </w:r>
    </w:p>
    <w:p w:rsidR="005F03BC" w:rsidRDefault="005F03BC" w:rsidP="005F03BC">
      <w:pPr>
        <w:pStyle w:val="NoSpacing"/>
      </w:pPr>
    </w:p>
    <w:p w:rsidR="005F03BC" w:rsidRDefault="00106308" w:rsidP="005F03BC">
      <w:pPr>
        <w:pStyle w:val="NoSpacing"/>
        <w:jc w:val="center"/>
      </w:pPr>
      <w:r w:rsidRPr="00106308">
        <w:rPr>
          <w:noProof/>
        </w:rPr>
        <w:drawing>
          <wp:inline distT="0" distB="0" distL="0" distR="0">
            <wp:extent cx="8258175" cy="4286250"/>
            <wp:effectExtent l="19050" t="0" r="9525" b="0"/>
            <wp:docPr id="2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0747E" w:rsidRDefault="0090747E" w:rsidP="005F03BC">
      <w:pPr>
        <w:pStyle w:val="NoSpacing"/>
        <w:jc w:val="center"/>
      </w:pPr>
    </w:p>
    <w:p w:rsidR="0090747E" w:rsidRDefault="0090747E" w:rsidP="001D38FA">
      <w:pPr>
        <w:pStyle w:val="NoSpacing"/>
      </w:pPr>
    </w:p>
    <w:p w:rsidR="0090747E" w:rsidRDefault="0090747E" w:rsidP="005F03BC">
      <w:pPr>
        <w:pStyle w:val="NoSpacing"/>
        <w:jc w:val="center"/>
      </w:pPr>
      <w:r w:rsidRPr="0090747E">
        <w:rPr>
          <w:noProof/>
        </w:rPr>
        <w:lastRenderedPageBreak/>
        <w:drawing>
          <wp:inline distT="0" distB="0" distL="0" distR="0">
            <wp:extent cx="7915275" cy="4391025"/>
            <wp:effectExtent l="0" t="0" r="9525" b="9525"/>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F03BC" w:rsidRDefault="005F03BC" w:rsidP="005F03BC">
      <w:pPr>
        <w:pStyle w:val="NoSpacing"/>
      </w:pPr>
    </w:p>
    <w:p w:rsidR="001D38FA" w:rsidRDefault="001D38FA" w:rsidP="001D38FA">
      <w:r>
        <w:t>The patients who completed the survey were asked to rate</w:t>
      </w:r>
      <w:r w:rsidR="006852A9">
        <w:t xml:space="preserve"> </w:t>
      </w:r>
      <w:r>
        <w:t xml:space="preserve">the appearance of the reception area </w:t>
      </w:r>
      <w:r w:rsidR="006852A9">
        <w:t>as either “Excellent” (</w:t>
      </w:r>
      <w:r w:rsidR="00C4741A">
        <w:t>5</w:t>
      </w:r>
      <w:r w:rsidR="006852A9">
        <w:t>), “Very Good” (</w:t>
      </w:r>
      <w:r w:rsidR="00C4741A">
        <w:t>4</w:t>
      </w:r>
      <w:r w:rsidR="006852A9">
        <w:t>),</w:t>
      </w:r>
      <w:r w:rsidR="00C4741A">
        <w:t xml:space="preserve"> “Good” (3),</w:t>
      </w:r>
      <w:r w:rsidR="006852A9">
        <w:t xml:space="preserve"> “Fair” (2), or “Poor” (1)</w:t>
      </w:r>
      <w:r>
        <w:t xml:space="preserve">.  The patients who completed surveys in the </w:t>
      </w:r>
      <w:r w:rsidR="00B2555C" w:rsidRPr="00B2555C">
        <w:t xml:space="preserve">Graduate Periodontics </w:t>
      </w:r>
      <w:r>
        <w:t>(</w:t>
      </w:r>
      <w:r w:rsidR="00891DE7">
        <w:t>4</w:t>
      </w:r>
      <w:r w:rsidR="00C4741A">
        <w:t>.62</w:t>
      </w:r>
      <w:r>
        <w:t xml:space="preserve">) and </w:t>
      </w:r>
      <w:r w:rsidR="00C4741A">
        <w:t>Orthodontics</w:t>
      </w:r>
      <w:r w:rsidR="00891DE7">
        <w:t xml:space="preserve"> </w:t>
      </w:r>
      <w:r>
        <w:t>(</w:t>
      </w:r>
      <w:r w:rsidR="00C4741A">
        <w:t>4.57</w:t>
      </w:r>
      <w:r>
        <w:t>) g</w:t>
      </w:r>
      <w:r w:rsidR="00C21057">
        <w:t>a</w:t>
      </w:r>
      <w:r>
        <w:t xml:space="preserve">ve the highest average scores for the appearance of the reception area.  The patients who completed surveys in the </w:t>
      </w:r>
      <w:r w:rsidR="00C4741A">
        <w:t>Oral Medicine</w:t>
      </w:r>
      <w:r w:rsidR="00B2555C">
        <w:t xml:space="preserve"> </w:t>
      </w:r>
      <w:r w:rsidR="00FC1509">
        <w:t>clinic (</w:t>
      </w:r>
      <w:r w:rsidR="00C4741A">
        <w:t>4.06</w:t>
      </w:r>
      <w:r w:rsidR="00FC1509">
        <w:t>)</w:t>
      </w:r>
      <w:r>
        <w:t xml:space="preserve"> </w:t>
      </w:r>
      <w:r w:rsidR="00556F9B">
        <w:t>g</w:t>
      </w:r>
      <w:r w:rsidR="00C21057">
        <w:t>a</w:t>
      </w:r>
      <w:r>
        <w:t xml:space="preserve">ve the lowest average score for the appearance of </w:t>
      </w:r>
      <w:r w:rsidR="00891DE7">
        <w:t>the reception area</w:t>
      </w:r>
      <w:r>
        <w:t>.</w:t>
      </w:r>
    </w:p>
    <w:p w:rsidR="005F03BC" w:rsidRDefault="005F03BC">
      <w:pPr>
        <w:spacing w:after="200" w:line="276" w:lineRule="auto"/>
        <w:rPr>
          <w:rFonts w:asciiTheme="majorHAnsi" w:eastAsiaTheme="majorEastAsia" w:hAnsiTheme="majorHAnsi" w:cstheme="majorBidi"/>
          <w:b/>
          <w:bCs/>
          <w:color w:val="4F81BD" w:themeColor="accent1"/>
          <w:sz w:val="26"/>
          <w:szCs w:val="26"/>
        </w:rPr>
      </w:pPr>
      <w:r>
        <w:br w:type="page"/>
      </w:r>
    </w:p>
    <w:p w:rsidR="005F03BC" w:rsidRDefault="00981F24" w:rsidP="005F03BC">
      <w:pPr>
        <w:pStyle w:val="Heading2"/>
      </w:pPr>
      <w:bookmarkStart w:id="19" w:name="_Toc377727091"/>
      <w:r>
        <w:lastRenderedPageBreak/>
        <w:t xml:space="preserve">Cleanliness of Dental </w:t>
      </w:r>
      <w:r w:rsidR="00EF6B37">
        <w:t>Centers</w:t>
      </w:r>
      <w:bookmarkEnd w:id="19"/>
    </w:p>
    <w:p w:rsidR="005F03BC" w:rsidRDefault="005F03BC" w:rsidP="005F03BC">
      <w:pPr>
        <w:pStyle w:val="NoSpacing"/>
      </w:pPr>
    </w:p>
    <w:p w:rsidR="005F03BC" w:rsidRDefault="005F03BC" w:rsidP="005F03BC">
      <w:pPr>
        <w:pStyle w:val="NoSpacing"/>
        <w:jc w:val="center"/>
      </w:pPr>
      <w:r>
        <w:t>Patients were asked: “</w:t>
      </w:r>
      <w:r w:rsidRPr="005F03BC">
        <w:rPr>
          <w:i/>
        </w:rPr>
        <w:t xml:space="preserve">How would you rate the </w:t>
      </w:r>
      <w:r w:rsidR="00981F24">
        <w:rPr>
          <w:i/>
        </w:rPr>
        <w:t xml:space="preserve">cleanliness of the dental </w:t>
      </w:r>
      <w:r w:rsidR="00EF6B37">
        <w:rPr>
          <w:i/>
        </w:rPr>
        <w:t>center(s)</w:t>
      </w:r>
      <w:r w:rsidRPr="005F03BC">
        <w:rPr>
          <w:i/>
        </w:rPr>
        <w:t>?</w:t>
      </w:r>
      <w:r>
        <w:t>”</w:t>
      </w:r>
    </w:p>
    <w:p w:rsidR="0090747E" w:rsidRDefault="0090747E" w:rsidP="005F03BC">
      <w:pPr>
        <w:pStyle w:val="NoSpacing"/>
        <w:jc w:val="center"/>
      </w:pPr>
    </w:p>
    <w:p w:rsidR="0090747E" w:rsidRDefault="0090747E" w:rsidP="005F03BC">
      <w:pPr>
        <w:pStyle w:val="NoSpacing"/>
        <w:jc w:val="center"/>
      </w:pPr>
      <w:r w:rsidRPr="0090747E">
        <w:rPr>
          <w:noProof/>
        </w:rPr>
        <w:drawing>
          <wp:inline distT="0" distB="0" distL="0" distR="0">
            <wp:extent cx="8620125" cy="4314825"/>
            <wp:effectExtent l="19050" t="0" r="9525" b="0"/>
            <wp:docPr id="31"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F03BC" w:rsidRDefault="005F03BC" w:rsidP="005F03BC">
      <w:pPr>
        <w:pStyle w:val="NoSpacing"/>
      </w:pPr>
    </w:p>
    <w:p w:rsidR="0090747E" w:rsidRDefault="0090747E" w:rsidP="0090747E">
      <w:pPr>
        <w:pStyle w:val="NoSpacing"/>
        <w:jc w:val="center"/>
      </w:pPr>
      <w:r w:rsidRPr="0090747E">
        <w:rPr>
          <w:noProof/>
        </w:rPr>
        <w:lastRenderedPageBreak/>
        <w:drawing>
          <wp:inline distT="0" distB="0" distL="0" distR="0">
            <wp:extent cx="8096250" cy="4324350"/>
            <wp:effectExtent l="0" t="0" r="19050" b="19050"/>
            <wp:docPr id="32"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12818" w:rsidRDefault="00A12818" w:rsidP="001D38FA"/>
    <w:p w:rsidR="001D38FA" w:rsidRDefault="00A12818" w:rsidP="001D38FA">
      <w:r w:rsidRPr="00A12818">
        <w:t>The patients who completed the survey were asked to rate the appearance of the reception area as either “Excellent” (5), “Very Good” (4), “Good” (3), “Fair” (2), or “Poor” (1).</w:t>
      </w:r>
      <w:r>
        <w:t xml:space="preserve">  </w:t>
      </w:r>
      <w:r w:rsidR="001D38FA">
        <w:t xml:space="preserve">The patients who completed surveys in the </w:t>
      </w:r>
      <w:r>
        <w:t>Faculty Practice</w:t>
      </w:r>
      <w:r w:rsidR="00C21057">
        <w:t xml:space="preserve"> clinic</w:t>
      </w:r>
      <w:r w:rsidR="00367D7F">
        <w:t xml:space="preserve"> (</w:t>
      </w:r>
      <w:r>
        <w:t>4.78</w:t>
      </w:r>
      <w:r w:rsidR="00367D7F">
        <w:t>)</w:t>
      </w:r>
      <w:r w:rsidR="00C21057">
        <w:t xml:space="preserve"> and </w:t>
      </w:r>
      <w:r w:rsidR="00367D7F">
        <w:t xml:space="preserve">the </w:t>
      </w:r>
      <w:r w:rsidR="00AA5632" w:rsidRPr="00AA5632">
        <w:t xml:space="preserve">Graduate Prosthodontics </w:t>
      </w:r>
      <w:r w:rsidR="00367D7F">
        <w:t>clinic</w:t>
      </w:r>
      <w:r w:rsidR="001D38FA">
        <w:t xml:space="preserve"> (</w:t>
      </w:r>
      <w:r>
        <w:t>4.74</w:t>
      </w:r>
      <w:r w:rsidR="001D38FA">
        <w:t>)</w:t>
      </w:r>
      <w:r w:rsidR="00556F9B">
        <w:t xml:space="preserve"> g</w:t>
      </w:r>
      <w:r w:rsidR="00C21057">
        <w:t>a</w:t>
      </w:r>
      <w:r w:rsidR="001D38FA">
        <w:t xml:space="preserve">ve the highest average scores for the cleanliness of the dental </w:t>
      </w:r>
      <w:r w:rsidR="00C21057">
        <w:t>centers</w:t>
      </w:r>
      <w:r w:rsidR="001D38FA">
        <w:t>.  The patients who completed surveys in</w:t>
      </w:r>
      <w:r w:rsidR="00367D7F">
        <w:t xml:space="preserve"> the </w:t>
      </w:r>
      <w:r w:rsidR="00AA5632">
        <w:t xml:space="preserve">Oral </w:t>
      </w:r>
      <w:r>
        <w:t>Surgery</w:t>
      </w:r>
      <w:r w:rsidR="00AA5632">
        <w:t xml:space="preserve"> </w:t>
      </w:r>
      <w:r w:rsidR="00367D7F">
        <w:t>clinic (</w:t>
      </w:r>
      <w:r>
        <w:t>4.31</w:t>
      </w:r>
      <w:r w:rsidR="00367D7F">
        <w:t xml:space="preserve">) </w:t>
      </w:r>
      <w:r w:rsidR="00556F9B">
        <w:t>g</w:t>
      </w:r>
      <w:r w:rsidR="00C21057">
        <w:t>a</w:t>
      </w:r>
      <w:r w:rsidR="001D38FA">
        <w:t xml:space="preserve">ve the lowest average scores for the cleanliness of the dental </w:t>
      </w:r>
      <w:r w:rsidR="00C21057">
        <w:t>center</w:t>
      </w:r>
      <w:r w:rsidR="001D38FA">
        <w:t>, though th</w:t>
      </w:r>
      <w:r w:rsidR="00C21057">
        <w:t>i</w:t>
      </w:r>
      <w:r w:rsidR="001D38FA">
        <w:t>s score</w:t>
      </w:r>
      <w:r w:rsidR="00C21057">
        <w:t xml:space="preserve"> was</w:t>
      </w:r>
      <w:r w:rsidR="001D38FA">
        <w:t xml:space="preserve"> still between “very good” and “excellent.”</w:t>
      </w:r>
    </w:p>
    <w:p w:rsidR="00981F24" w:rsidRDefault="00981F24" w:rsidP="00981F24">
      <w:pPr>
        <w:spacing w:after="200" w:line="276" w:lineRule="auto"/>
        <w:rPr>
          <w:rFonts w:asciiTheme="majorHAnsi" w:eastAsiaTheme="majorEastAsia" w:hAnsiTheme="majorHAnsi" w:cstheme="majorBidi"/>
          <w:b/>
          <w:bCs/>
          <w:color w:val="4F81BD" w:themeColor="accent1"/>
          <w:sz w:val="26"/>
          <w:szCs w:val="26"/>
        </w:rPr>
      </w:pPr>
      <w:r>
        <w:br w:type="page"/>
      </w:r>
    </w:p>
    <w:p w:rsidR="00241C9B" w:rsidRDefault="00241C9B" w:rsidP="00241C9B">
      <w:pPr>
        <w:pStyle w:val="Heading2"/>
      </w:pPr>
      <w:bookmarkStart w:id="20" w:name="_Toc377727092"/>
      <w:r>
        <w:lastRenderedPageBreak/>
        <w:t>Cleanliness of Restrooms</w:t>
      </w:r>
      <w:bookmarkEnd w:id="20"/>
    </w:p>
    <w:p w:rsidR="00241C9B" w:rsidRDefault="00241C9B" w:rsidP="00241C9B">
      <w:pPr>
        <w:pStyle w:val="NoSpacing"/>
      </w:pPr>
    </w:p>
    <w:p w:rsidR="00241C9B" w:rsidRDefault="00241C9B" w:rsidP="00241C9B">
      <w:pPr>
        <w:pStyle w:val="NoSpacing"/>
        <w:jc w:val="center"/>
      </w:pPr>
      <w:r>
        <w:t>Patients were asked: “</w:t>
      </w:r>
      <w:r w:rsidRPr="005F03BC">
        <w:rPr>
          <w:i/>
        </w:rPr>
        <w:t xml:space="preserve">How would you rate the </w:t>
      </w:r>
      <w:r>
        <w:rPr>
          <w:i/>
        </w:rPr>
        <w:t>cleanliness of our restroom(s)</w:t>
      </w:r>
      <w:r w:rsidRPr="005F03BC">
        <w:rPr>
          <w:i/>
        </w:rPr>
        <w:t>?</w:t>
      </w:r>
      <w:r>
        <w:t>”</w:t>
      </w:r>
    </w:p>
    <w:p w:rsidR="00241C9B" w:rsidRDefault="00241C9B" w:rsidP="00241C9B">
      <w:pPr>
        <w:pStyle w:val="NoSpacing"/>
        <w:jc w:val="center"/>
      </w:pPr>
    </w:p>
    <w:p w:rsidR="00241C9B" w:rsidRDefault="00241C9B" w:rsidP="00241C9B">
      <w:pPr>
        <w:pStyle w:val="NoSpacing"/>
        <w:jc w:val="center"/>
      </w:pPr>
      <w:r w:rsidRPr="0090747E">
        <w:rPr>
          <w:noProof/>
        </w:rPr>
        <w:drawing>
          <wp:inline distT="0" distB="0" distL="0" distR="0">
            <wp:extent cx="8620125" cy="4314825"/>
            <wp:effectExtent l="19050" t="0" r="9525" b="0"/>
            <wp:docPr id="11"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241C9B" w:rsidRDefault="00241C9B" w:rsidP="00241C9B">
      <w:pPr>
        <w:pStyle w:val="NoSpacing"/>
      </w:pPr>
    </w:p>
    <w:p w:rsidR="00241C9B" w:rsidRDefault="00241C9B" w:rsidP="00241C9B">
      <w:pPr>
        <w:pStyle w:val="NoSpacing"/>
        <w:jc w:val="center"/>
      </w:pPr>
      <w:r w:rsidRPr="0090747E">
        <w:rPr>
          <w:noProof/>
        </w:rPr>
        <w:lastRenderedPageBreak/>
        <w:drawing>
          <wp:inline distT="0" distB="0" distL="0" distR="0">
            <wp:extent cx="8096250" cy="4324350"/>
            <wp:effectExtent l="0" t="0" r="19050" b="19050"/>
            <wp:docPr id="13"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12818" w:rsidRDefault="00A12818" w:rsidP="00241C9B"/>
    <w:p w:rsidR="00241C9B" w:rsidRDefault="00A12818" w:rsidP="00241C9B">
      <w:r>
        <w:t xml:space="preserve">The patients who completed the survey were asked to rate the appearance of the reception area as either “Excellent” (5), “Very Good” (4), “Good” (3), “Fair” (2), or “Poor” (1).  </w:t>
      </w:r>
      <w:r w:rsidR="00241C9B">
        <w:t xml:space="preserve">The patients who completed surveys in the </w:t>
      </w:r>
      <w:r w:rsidR="003B5120">
        <w:t>St. Pete</w:t>
      </w:r>
      <w:r w:rsidR="00241C9B">
        <w:t xml:space="preserve"> clinic (</w:t>
      </w:r>
      <w:r w:rsidR="00484D02">
        <w:t>4.37</w:t>
      </w:r>
      <w:r w:rsidR="00241C9B">
        <w:t xml:space="preserve">) gave the highest average scores for the cleanliness of the restrooms.  The patients who completed surveys in the </w:t>
      </w:r>
      <w:r w:rsidR="00484D02">
        <w:t>Orthodontics</w:t>
      </w:r>
      <w:r w:rsidR="00241C9B">
        <w:t xml:space="preserve"> clinic (</w:t>
      </w:r>
      <w:r w:rsidR="003B5120">
        <w:t>3.</w:t>
      </w:r>
      <w:r w:rsidR="00484D02">
        <w:t>87</w:t>
      </w:r>
      <w:r w:rsidR="00241C9B">
        <w:t>) gave the lowest average scores for the cleanliness of the restrooms.</w:t>
      </w:r>
    </w:p>
    <w:p w:rsidR="00241C9B" w:rsidRDefault="00241C9B">
      <w:pPr>
        <w:spacing w:after="200" w:line="276" w:lineRule="auto"/>
        <w:rPr>
          <w:rFonts w:asciiTheme="majorHAnsi" w:eastAsiaTheme="majorEastAsia" w:hAnsiTheme="majorHAnsi" w:cstheme="majorBidi"/>
          <w:b/>
          <w:bCs/>
          <w:color w:val="4F81BD" w:themeColor="accent1"/>
          <w:sz w:val="26"/>
          <w:szCs w:val="26"/>
        </w:rPr>
      </w:pPr>
      <w:r>
        <w:br w:type="page"/>
      </w:r>
    </w:p>
    <w:p w:rsidR="005F03BC" w:rsidRDefault="00981F24" w:rsidP="00981F24">
      <w:pPr>
        <w:pStyle w:val="Heading2"/>
      </w:pPr>
      <w:bookmarkStart w:id="21" w:name="_Toc377727093"/>
      <w:r>
        <w:lastRenderedPageBreak/>
        <w:t>Overall Quality of Care</w:t>
      </w:r>
      <w:bookmarkEnd w:id="21"/>
    </w:p>
    <w:p w:rsidR="00981F24" w:rsidRDefault="00981F24" w:rsidP="005F03BC">
      <w:pPr>
        <w:pStyle w:val="NoSpacing"/>
      </w:pPr>
    </w:p>
    <w:p w:rsidR="00981F24" w:rsidRDefault="00981F24" w:rsidP="00981F24">
      <w:pPr>
        <w:pStyle w:val="NoSpacing"/>
        <w:jc w:val="center"/>
      </w:pPr>
      <w:r>
        <w:t>Patients were asked: “</w:t>
      </w:r>
      <w:r w:rsidRPr="00981F24">
        <w:rPr>
          <w:i/>
        </w:rPr>
        <w:t>How would you rate the overall quality of the dental care you receive here?</w:t>
      </w:r>
      <w:r>
        <w:t>”</w:t>
      </w:r>
    </w:p>
    <w:p w:rsidR="00981F24" w:rsidRDefault="00981F24" w:rsidP="00981F24">
      <w:pPr>
        <w:pStyle w:val="NoSpacing"/>
      </w:pPr>
    </w:p>
    <w:p w:rsidR="00981F24" w:rsidRDefault="009C4143" w:rsidP="00981F24">
      <w:pPr>
        <w:pStyle w:val="NoSpacing"/>
        <w:jc w:val="center"/>
      </w:pPr>
      <w:r w:rsidRPr="009C4143">
        <w:rPr>
          <w:noProof/>
        </w:rPr>
        <w:drawing>
          <wp:inline distT="0" distB="0" distL="0" distR="0">
            <wp:extent cx="8343900" cy="4552950"/>
            <wp:effectExtent l="19050" t="0" r="19050" b="0"/>
            <wp:docPr id="33"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9C4143" w:rsidRDefault="009C4143" w:rsidP="00981F24">
      <w:pPr>
        <w:pStyle w:val="NoSpacing"/>
        <w:jc w:val="center"/>
      </w:pPr>
    </w:p>
    <w:p w:rsidR="009C4143" w:rsidRDefault="009C4143" w:rsidP="00981F24">
      <w:pPr>
        <w:pStyle w:val="NoSpacing"/>
        <w:jc w:val="center"/>
      </w:pPr>
      <w:r w:rsidRPr="009C4143">
        <w:rPr>
          <w:noProof/>
        </w:rPr>
        <w:lastRenderedPageBreak/>
        <w:drawing>
          <wp:inline distT="0" distB="0" distL="0" distR="0">
            <wp:extent cx="8210550" cy="4524375"/>
            <wp:effectExtent l="0" t="0" r="19050" b="9525"/>
            <wp:docPr id="34"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981F24" w:rsidRDefault="00981F24" w:rsidP="00981F24">
      <w:pPr>
        <w:pStyle w:val="NoSpacing"/>
      </w:pPr>
    </w:p>
    <w:p w:rsidR="006852A9" w:rsidRDefault="00A12818" w:rsidP="006852A9">
      <w:r>
        <w:t>The patients who completed the survey were asked to rate the appearance of the reception area as either “Excellent” (5), “Very Good” (4), “Good” (3), “Fair” (2), or “Poor” (1).</w:t>
      </w:r>
      <w:r w:rsidR="006852A9">
        <w:t xml:space="preserve">  The patients who completed surveys at the </w:t>
      </w:r>
      <w:r w:rsidR="0049766B">
        <w:t>Graduate P</w:t>
      </w:r>
      <w:r w:rsidR="00CC2CD0">
        <w:t>rostho</w:t>
      </w:r>
      <w:r w:rsidR="0049766B">
        <w:t>dontics</w:t>
      </w:r>
      <w:r w:rsidR="006852A9">
        <w:t xml:space="preserve"> </w:t>
      </w:r>
      <w:r w:rsidR="0049766B">
        <w:t>c</w:t>
      </w:r>
      <w:r w:rsidR="006852A9">
        <w:t>linic (</w:t>
      </w:r>
      <w:r w:rsidR="00CC2CD0">
        <w:t>4.81</w:t>
      </w:r>
      <w:r w:rsidR="006852A9">
        <w:t>)</w:t>
      </w:r>
      <w:r w:rsidR="00DC78A2">
        <w:t xml:space="preserve"> </w:t>
      </w:r>
      <w:r w:rsidR="00CC2CD0">
        <w:t>g</w:t>
      </w:r>
      <w:r w:rsidR="00DC78A2">
        <w:t>a</w:t>
      </w:r>
      <w:r w:rsidR="006852A9">
        <w:t xml:space="preserve">ve the highest average score for the overall quality of the care they received.  The patients who visited the </w:t>
      </w:r>
      <w:r w:rsidR="009D2D40">
        <w:t>Oral Surgery</w:t>
      </w:r>
      <w:r w:rsidR="00DC78A2">
        <w:t xml:space="preserve"> </w:t>
      </w:r>
      <w:r w:rsidR="00F92C51">
        <w:t>clinic</w:t>
      </w:r>
      <w:r w:rsidR="006852A9">
        <w:t xml:space="preserve"> (</w:t>
      </w:r>
      <w:r w:rsidR="00CC2CD0">
        <w:t>4.49</w:t>
      </w:r>
      <w:r w:rsidR="006852A9">
        <w:t>)</w:t>
      </w:r>
      <w:r w:rsidR="00DC78A2">
        <w:t xml:space="preserve"> </w:t>
      </w:r>
      <w:r w:rsidR="00556F9B">
        <w:t>g</w:t>
      </w:r>
      <w:r w:rsidR="00DC78A2">
        <w:t>a</w:t>
      </w:r>
      <w:r w:rsidR="006852A9">
        <w:t>ve the lowest average score for the overall quality of care that they received, though th</w:t>
      </w:r>
      <w:r w:rsidR="00DC78A2">
        <w:t>is</w:t>
      </w:r>
      <w:r w:rsidR="006852A9">
        <w:t xml:space="preserve"> score </w:t>
      </w:r>
      <w:r w:rsidR="00DC78A2">
        <w:t>was</w:t>
      </w:r>
      <w:r w:rsidR="006852A9">
        <w:t xml:space="preserve"> still between “very good” and “excellent.”</w:t>
      </w:r>
    </w:p>
    <w:p w:rsidR="009C4143" w:rsidRDefault="009C4143">
      <w:pPr>
        <w:spacing w:after="200" w:line="276" w:lineRule="auto"/>
        <w:rPr>
          <w:rFonts w:asciiTheme="majorHAnsi" w:eastAsiaTheme="majorEastAsia" w:hAnsiTheme="majorHAnsi" w:cstheme="majorBidi"/>
          <w:b/>
          <w:bCs/>
          <w:color w:val="4F81BD" w:themeColor="accent1"/>
          <w:sz w:val="26"/>
          <w:szCs w:val="26"/>
        </w:rPr>
      </w:pPr>
      <w:r>
        <w:br w:type="page"/>
      </w:r>
    </w:p>
    <w:p w:rsidR="00981F24" w:rsidRDefault="00981F24" w:rsidP="008D1ED1">
      <w:pPr>
        <w:pStyle w:val="Heading2"/>
      </w:pPr>
      <w:bookmarkStart w:id="22" w:name="_Toc377727094"/>
      <w:r>
        <w:lastRenderedPageBreak/>
        <w:t>Treatment by Dental Care Provider</w:t>
      </w:r>
      <w:bookmarkEnd w:id="22"/>
    </w:p>
    <w:p w:rsidR="00981F24" w:rsidRDefault="00981F24" w:rsidP="00981F24">
      <w:pPr>
        <w:pStyle w:val="NoSpacing"/>
      </w:pPr>
    </w:p>
    <w:p w:rsidR="00981F24" w:rsidRDefault="00981F24" w:rsidP="008D1ED1">
      <w:pPr>
        <w:pStyle w:val="NoSpacing"/>
        <w:jc w:val="center"/>
      </w:pPr>
      <w:r>
        <w:t>Patients were asked: “</w:t>
      </w:r>
      <w:r w:rsidRPr="008D1ED1">
        <w:rPr>
          <w:i/>
        </w:rPr>
        <w:t>Using a scale from 5 (always considerate and caring) to 1 (usually rude), how would you describe the way your dental care provider treats you?</w:t>
      </w:r>
      <w:r>
        <w:t>”</w:t>
      </w:r>
    </w:p>
    <w:p w:rsidR="008D1ED1" w:rsidRDefault="008D1ED1" w:rsidP="00981F24">
      <w:pPr>
        <w:pStyle w:val="NoSpacing"/>
      </w:pPr>
    </w:p>
    <w:p w:rsidR="008D1ED1" w:rsidRDefault="009C4143" w:rsidP="008D1ED1">
      <w:pPr>
        <w:pStyle w:val="NoSpacing"/>
        <w:jc w:val="center"/>
      </w:pPr>
      <w:r w:rsidRPr="009C4143">
        <w:rPr>
          <w:noProof/>
        </w:rPr>
        <w:drawing>
          <wp:inline distT="0" distB="0" distL="0" distR="0">
            <wp:extent cx="8305800" cy="4552950"/>
            <wp:effectExtent l="19050" t="0" r="19050" b="0"/>
            <wp:docPr id="35"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8D1ED1" w:rsidRDefault="008D1ED1" w:rsidP="008D1ED1">
      <w:pPr>
        <w:pStyle w:val="NoSpacing"/>
      </w:pPr>
    </w:p>
    <w:p w:rsidR="009C4143" w:rsidRDefault="009C4143" w:rsidP="009C4143">
      <w:pPr>
        <w:pStyle w:val="NoSpacing"/>
        <w:jc w:val="center"/>
      </w:pPr>
      <w:r w:rsidRPr="009C4143">
        <w:rPr>
          <w:noProof/>
        </w:rPr>
        <w:lastRenderedPageBreak/>
        <w:drawing>
          <wp:inline distT="0" distB="0" distL="0" distR="0">
            <wp:extent cx="7810500" cy="4352925"/>
            <wp:effectExtent l="0" t="0" r="19050" b="9525"/>
            <wp:docPr id="36"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8D1ED1" w:rsidRDefault="008D1ED1" w:rsidP="008D1ED1">
      <w:pPr>
        <w:pStyle w:val="NoSpacing"/>
      </w:pPr>
    </w:p>
    <w:p w:rsidR="006852A9" w:rsidRDefault="006852A9" w:rsidP="006852A9">
      <w:r>
        <w:t>The patients who completed the survey were asked to rate, on a scale from 5 to 1 where 5 is “Always considerate” and 1 is “Usually rude,” the way that their dental care provider treat</w:t>
      </w:r>
      <w:r w:rsidR="009520AA">
        <w:t>s</w:t>
      </w:r>
      <w:r>
        <w:t xml:space="preserve"> them.  The patients who completed surveys at the </w:t>
      </w:r>
      <w:r w:rsidR="005B6937">
        <w:t>Graduate Prosthodontics</w:t>
      </w:r>
      <w:r>
        <w:t xml:space="preserve"> </w:t>
      </w:r>
      <w:r w:rsidR="005B6937">
        <w:t>c</w:t>
      </w:r>
      <w:r>
        <w:t>linic (</w:t>
      </w:r>
      <w:r w:rsidR="00F25484">
        <w:t>5.00</w:t>
      </w:r>
      <w:r>
        <w:t>)</w:t>
      </w:r>
      <w:r w:rsidR="00F25484">
        <w:t xml:space="preserve"> and the </w:t>
      </w:r>
      <w:r w:rsidR="00C81974">
        <w:t>Oral Medicine clinic (</w:t>
      </w:r>
      <w:r w:rsidR="00F25484">
        <w:t>5.00</w:t>
      </w:r>
      <w:r w:rsidR="00C81974">
        <w:t>)</w:t>
      </w:r>
      <w:r w:rsidR="00D30C3E">
        <w:t xml:space="preserve"> </w:t>
      </w:r>
      <w:r w:rsidR="00556F9B">
        <w:t>g</w:t>
      </w:r>
      <w:r w:rsidR="006972E2">
        <w:t>a</w:t>
      </w:r>
      <w:r>
        <w:t xml:space="preserve">ve the highest average scores for the </w:t>
      </w:r>
      <w:r w:rsidR="009520AA">
        <w:t>treatment they</w:t>
      </w:r>
      <w:r>
        <w:t xml:space="preserve"> receive</w:t>
      </w:r>
      <w:r w:rsidR="009520AA">
        <w:t xml:space="preserve"> from their dental care provider</w:t>
      </w:r>
      <w:r>
        <w:t xml:space="preserve">.  </w:t>
      </w:r>
    </w:p>
    <w:p w:rsidR="008D1ED1" w:rsidRDefault="008D1ED1">
      <w:pPr>
        <w:spacing w:after="200" w:line="276" w:lineRule="auto"/>
      </w:pPr>
      <w:r>
        <w:br w:type="page"/>
      </w:r>
    </w:p>
    <w:p w:rsidR="008D1ED1" w:rsidRDefault="008D1ED1" w:rsidP="008D1ED1">
      <w:pPr>
        <w:pStyle w:val="Heading2"/>
      </w:pPr>
      <w:bookmarkStart w:id="23" w:name="_Toc377727095"/>
      <w:r>
        <w:lastRenderedPageBreak/>
        <w:t>Treatment when Calling</w:t>
      </w:r>
      <w:r w:rsidR="009C4143">
        <w:t xml:space="preserve"> the College of Dentistry</w:t>
      </w:r>
      <w:bookmarkEnd w:id="23"/>
    </w:p>
    <w:p w:rsidR="008D1ED1" w:rsidRDefault="008D1ED1" w:rsidP="008D1ED1">
      <w:pPr>
        <w:pStyle w:val="NoSpacing"/>
      </w:pPr>
    </w:p>
    <w:p w:rsidR="008D1ED1" w:rsidRDefault="008D1ED1" w:rsidP="008D1ED1">
      <w:pPr>
        <w:pStyle w:val="NoSpacing"/>
        <w:jc w:val="center"/>
      </w:pPr>
      <w:r>
        <w:t>Patients were asked: “</w:t>
      </w:r>
      <w:r w:rsidR="00AB27E4">
        <w:rPr>
          <w:i/>
        </w:rPr>
        <w:t>When you</w:t>
      </w:r>
      <w:r w:rsidRPr="008D1ED1">
        <w:rPr>
          <w:i/>
        </w:rPr>
        <w:t xml:space="preserve"> call the College of Denti</w:t>
      </w:r>
      <w:r>
        <w:rPr>
          <w:i/>
        </w:rPr>
        <w:t xml:space="preserve">stry, </w:t>
      </w:r>
      <w:r w:rsidR="00AB27E4">
        <w:rPr>
          <w:i/>
        </w:rPr>
        <w:t>you are</w:t>
      </w:r>
      <w:r>
        <w:rPr>
          <w:i/>
        </w:rPr>
        <w:t xml:space="preserve"> greeted by someone who</w:t>
      </w:r>
      <w:r w:rsidRPr="008D1ED1">
        <w:rPr>
          <w:i/>
        </w:rPr>
        <w:t xml:space="preserve"> is</w:t>
      </w:r>
      <w:r>
        <w:rPr>
          <w:i/>
        </w:rPr>
        <w:t>…</w:t>
      </w:r>
      <w:r w:rsidRPr="008D1ED1">
        <w:rPr>
          <w:i/>
        </w:rPr>
        <w:t xml:space="preserve"> 5 (always considerate and caring) to 1 (usually rude)</w:t>
      </w:r>
      <w:r>
        <w:rPr>
          <w:i/>
        </w:rPr>
        <w:t>.</w:t>
      </w:r>
      <w:r>
        <w:t>”</w:t>
      </w:r>
    </w:p>
    <w:p w:rsidR="008D1ED1" w:rsidRDefault="008D1ED1" w:rsidP="008D1ED1">
      <w:pPr>
        <w:pStyle w:val="NoSpacing"/>
      </w:pPr>
    </w:p>
    <w:p w:rsidR="008D1ED1" w:rsidRDefault="009C4143" w:rsidP="008D1ED1">
      <w:pPr>
        <w:pStyle w:val="NoSpacing"/>
        <w:jc w:val="center"/>
      </w:pPr>
      <w:r w:rsidRPr="009C4143">
        <w:rPr>
          <w:noProof/>
        </w:rPr>
        <w:drawing>
          <wp:inline distT="0" distB="0" distL="0" distR="0">
            <wp:extent cx="7896225" cy="4610100"/>
            <wp:effectExtent l="19050" t="0" r="9525" b="0"/>
            <wp:docPr id="38"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83298C" w:rsidRDefault="0083298C" w:rsidP="008D1ED1">
      <w:pPr>
        <w:pStyle w:val="NoSpacing"/>
        <w:jc w:val="center"/>
      </w:pPr>
    </w:p>
    <w:p w:rsidR="0083298C" w:rsidRDefault="0083298C" w:rsidP="008D1ED1">
      <w:pPr>
        <w:pStyle w:val="NoSpacing"/>
        <w:jc w:val="center"/>
      </w:pPr>
      <w:r w:rsidRPr="0083298C">
        <w:rPr>
          <w:noProof/>
        </w:rPr>
        <w:lastRenderedPageBreak/>
        <w:drawing>
          <wp:inline distT="0" distB="0" distL="0" distR="0">
            <wp:extent cx="7553325" cy="4410075"/>
            <wp:effectExtent l="0" t="0" r="9525" b="9525"/>
            <wp:docPr id="3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8D1ED1" w:rsidRDefault="008D1ED1" w:rsidP="008D1ED1">
      <w:pPr>
        <w:pStyle w:val="NoSpacing"/>
      </w:pPr>
    </w:p>
    <w:p w:rsidR="009520AA" w:rsidRDefault="009520AA" w:rsidP="009520AA">
      <w:r>
        <w:t xml:space="preserve">The patients who completed the survey were asked to rate, on a scale from 5 to 1 where 5 </w:t>
      </w:r>
      <w:proofErr w:type="gramStart"/>
      <w:r>
        <w:t>is</w:t>
      </w:r>
      <w:proofErr w:type="gramEnd"/>
      <w:r>
        <w:t xml:space="preserve"> “Always considerate” and 1 is “Usually rude,” the treatment they receive when calling the College of Dentistry.  The patients who completed surveys in the </w:t>
      </w:r>
      <w:r w:rsidR="00CC5BAA" w:rsidRPr="00CC5BAA">
        <w:t xml:space="preserve">Graduate Prosthodontics clinic </w:t>
      </w:r>
      <w:r>
        <w:t>(4.9</w:t>
      </w:r>
      <w:r w:rsidR="00F57316">
        <w:t>5</w:t>
      </w:r>
      <w:r>
        <w:t>) g</w:t>
      </w:r>
      <w:r w:rsidR="00AB27E4">
        <w:t>a</w:t>
      </w:r>
      <w:r>
        <w:t xml:space="preserve">ve the highest average score for the treatment they receive when calling the College of Dentistry.  </w:t>
      </w:r>
    </w:p>
    <w:p w:rsidR="008D1ED1" w:rsidRDefault="008D1ED1">
      <w:pPr>
        <w:spacing w:after="200" w:line="276" w:lineRule="auto"/>
      </w:pPr>
      <w:r>
        <w:br w:type="page"/>
      </w:r>
    </w:p>
    <w:p w:rsidR="008D1ED1" w:rsidRDefault="0083298C" w:rsidP="008D1ED1">
      <w:pPr>
        <w:pStyle w:val="Heading2"/>
      </w:pPr>
      <w:bookmarkStart w:id="24" w:name="_Toc377727096"/>
      <w:r>
        <w:lastRenderedPageBreak/>
        <w:t>Treatment by Staff</w:t>
      </w:r>
      <w:bookmarkEnd w:id="24"/>
    </w:p>
    <w:p w:rsidR="008D1ED1" w:rsidRDefault="008D1ED1" w:rsidP="008D1ED1">
      <w:pPr>
        <w:pStyle w:val="NoSpacing"/>
      </w:pPr>
    </w:p>
    <w:p w:rsidR="008D1ED1" w:rsidRDefault="008D1ED1" w:rsidP="008D1ED1">
      <w:pPr>
        <w:pStyle w:val="NoSpacing"/>
        <w:jc w:val="center"/>
      </w:pPr>
      <w:r>
        <w:t>Patients were asked: “</w:t>
      </w:r>
      <w:r w:rsidRPr="008D1ED1">
        <w:rPr>
          <w:i/>
        </w:rPr>
        <w:t xml:space="preserve">During </w:t>
      </w:r>
      <w:r w:rsidR="00C6108F">
        <w:rPr>
          <w:i/>
        </w:rPr>
        <w:t>appointments, you</w:t>
      </w:r>
      <w:r w:rsidRPr="008D1ED1">
        <w:rPr>
          <w:i/>
        </w:rPr>
        <w:t xml:space="preserve"> feel that the </w:t>
      </w:r>
      <w:proofErr w:type="gramStart"/>
      <w:r w:rsidRPr="008D1ED1">
        <w:rPr>
          <w:i/>
        </w:rPr>
        <w:t>staff are</w:t>
      </w:r>
      <w:proofErr w:type="gramEnd"/>
      <w:r w:rsidRPr="008D1ED1">
        <w:rPr>
          <w:i/>
        </w:rPr>
        <w:t>… 5 (always considerate and caring) to 1 (usually rude)</w:t>
      </w:r>
      <w:r>
        <w:rPr>
          <w:i/>
        </w:rPr>
        <w:t>.</w:t>
      </w:r>
      <w:r>
        <w:t>”</w:t>
      </w:r>
    </w:p>
    <w:p w:rsidR="008D1ED1" w:rsidRDefault="008D1ED1" w:rsidP="008D1ED1">
      <w:pPr>
        <w:pStyle w:val="NoSpacing"/>
      </w:pPr>
    </w:p>
    <w:p w:rsidR="008D1ED1" w:rsidRDefault="0083298C" w:rsidP="008D1ED1">
      <w:pPr>
        <w:pStyle w:val="NoSpacing"/>
        <w:jc w:val="center"/>
      </w:pPr>
      <w:r w:rsidRPr="0083298C">
        <w:rPr>
          <w:noProof/>
        </w:rPr>
        <w:drawing>
          <wp:inline distT="0" distB="0" distL="0" distR="0">
            <wp:extent cx="7924800" cy="4810125"/>
            <wp:effectExtent l="19050" t="0" r="19050" b="0"/>
            <wp:docPr id="40"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83298C" w:rsidRDefault="0083298C" w:rsidP="008D1ED1">
      <w:pPr>
        <w:pStyle w:val="NoSpacing"/>
        <w:jc w:val="center"/>
      </w:pPr>
    </w:p>
    <w:p w:rsidR="0083298C" w:rsidRDefault="0083298C" w:rsidP="008D1ED1">
      <w:pPr>
        <w:pStyle w:val="NoSpacing"/>
        <w:jc w:val="center"/>
      </w:pPr>
      <w:r w:rsidRPr="0083298C">
        <w:rPr>
          <w:noProof/>
        </w:rPr>
        <w:lastRenderedPageBreak/>
        <w:drawing>
          <wp:inline distT="0" distB="0" distL="0" distR="0">
            <wp:extent cx="7743825" cy="4476750"/>
            <wp:effectExtent l="0" t="0" r="9525" b="19050"/>
            <wp:docPr id="41"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8D1ED1" w:rsidRDefault="008D1ED1" w:rsidP="008D1ED1">
      <w:pPr>
        <w:pStyle w:val="NoSpacing"/>
      </w:pPr>
    </w:p>
    <w:p w:rsidR="009520AA" w:rsidRDefault="009520AA" w:rsidP="009520AA">
      <w:r>
        <w:t xml:space="preserve">The patients who completed the survey were asked to rate, on a scale from 5 to 1 where 5 </w:t>
      </w:r>
      <w:proofErr w:type="gramStart"/>
      <w:r>
        <w:t>is</w:t>
      </w:r>
      <w:proofErr w:type="gramEnd"/>
      <w:r>
        <w:t xml:space="preserve"> “Always considerate” and 1 is “Usually rude,” the treatment they receive from staff during their appointments.  The patients who completed surveys in the</w:t>
      </w:r>
      <w:r w:rsidR="000859FC">
        <w:t xml:space="preserve"> </w:t>
      </w:r>
      <w:r w:rsidR="00D41A1B">
        <w:t>Oral Medicine</w:t>
      </w:r>
      <w:r w:rsidR="001F3826">
        <w:t xml:space="preserve"> clinic</w:t>
      </w:r>
      <w:r w:rsidR="000859FC">
        <w:t xml:space="preserve"> (</w:t>
      </w:r>
      <w:r w:rsidR="00D41A1B">
        <w:t>5.00</w:t>
      </w:r>
      <w:r w:rsidR="000859FC">
        <w:t>)</w:t>
      </w:r>
      <w:r w:rsidR="001F3826">
        <w:t xml:space="preserve"> </w:t>
      </w:r>
      <w:r w:rsidR="00C6108F">
        <w:t>ga</w:t>
      </w:r>
      <w:r>
        <w:t>ve the highest average score for the treatment they receive from staff during their appointments</w:t>
      </w:r>
      <w:r w:rsidR="000859FC">
        <w:t>.</w:t>
      </w:r>
    </w:p>
    <w:p w:rsidR="008D1ED1" w:rsidRDefault="008D1ED1" w:rsidP="008D1ED1">
      <w:pPr>
        <w:pStyle w:val="NoSpacing"/>
      </w:pPr>
    </w:p>
    <w:p w:rsidR="00387A4D" w:rsidRDefault="00387A4D">
      <w:pPr>
        <w:spacing w:after="200" w:line="276" w:lineRule="auto"/>
      </w:pPr>
    </w:p>
    <w:sectPr w:rsidR="00387A4D" w:rsidSect="00EF14FE">
      <w:headerReference w:type="default" r:id="rId40"/>
      <w:footerReference w:type="default" r:id="rId41"/>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C34" w:rsidRDefault="00041C34" w:rsidP="00C917F1">
      <w:r>
        <w:separator/>
      </w:r>
    </w:p>
  </w:endnote>
  <w:endnote w:type="continuationSeparator" w:id="0">
    <w:p w:rsidR="00041C34" w:rsidRDefault="00041C34" w:rsidP="00C91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366"/>
      <w:gridCol w:w="11810"/>
    </w:tblGrid>
    <w:tr w:rsidR="006F2386">
      <w:tc>
        <w:tcPr>
          <w:tcW w:w="918" w:type="dxa"/>
        </w:tcPr>
        <w:p w:rsidR="006F2386" w:rsidRPr="00C917F1" w:rsidRDefault="006F2386">
          <w:pPr>
            <w:pStyle w:val="Footer"/>
            <w:jc w:val="right"/>
            <w:rPr>
              <w:b/>
              <w:sz w:val="24"/>
              <w:szCs w:val="24"/>
            </w:rPr>
          </w:pPr>
          <w:r w:rsidRPr="00C917F1">
            <w:rPr>
              <w:sz w:val="24"/>
              <w:szCs w:val="24"/>
            </w:rPr>
            <w:fldChar w:fldCharType="begin"/>
          </w:r>
          <w:r w:rsidRPr="00C917F1">
            <w:rPr>
              <w:sz w:val="24"/>
              <w:szCs w:val="24"/>
            </w:rPr>
            <w:instrText xml:space="preserve"> PAGE   \* MERGEFORMAT </w:instrText>
          </w:r>
          <w:r w:rsidRPr="00C917F1">
            <w:rPr>
              <w:sz w:val="24"/>
              <w:szCs w:val="24"/>
            </w:rPr>
            <w:fldChar w:fldCharType="separate"/>
          </w:r>
          <w:r w:rsidR="0005578C" w:rsidRPr="0005578C">
            <w:rPr>
              <w:b/>
              <w:noProof/>
              <w:sz w:val="24"/>
              <w:szCs w:val="24"/>
            </w:rPr>
            <w:t>4</w:t>
          </w:r>
          <w:r w:rsidRPr="00C917F1">
            <w:rPr>
              <w:sz w:val="24"/>
              <w:szCs w:val="24"/>
            </w:rPr>
            <w:fldChar w:fldCharType="end"/>
          </w:r>
        </w:p>
      </w:tc>
      <w:tc>
        <w:tcPr>
          <w:tcW w:w="7938" w:type="dxa"/>
        </w:tcPr>
        <w:p w:rsidR="006F2386" w:rsidRPr="00C917F1" w:rsidRDefault="006F2386">
          <w:pPr>
            <w:pStyle w:val="Footer"/>
            <w:rPr>
              <w:sz w:val="24"/>
              <w:szCs w:val="24"/>
            </w:rPr>
          </w:pPr>
          <w:r w:rsidRPr="00C917F1">
            <w:rPr>
              <w:sz w:val="24"/>
              <w:szCs w:val="24"/>
            </w:rPr>
            <w:t>University of Florida College of Dentistry</w:t>
          </w:r>
        </w:p>
      </w:tc>
    </w:tr>
  </w:tbl>
  <w:p w:rsidR="006F2386" w:rsidRDefault="006F23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C34" w:rsidRDefault="00041C34" w:rsidP="00C917F1">
      <w:r>
        <w:separator/>
      </w:r>
    </w:p>
  </w:footnote>
  <w:footnote w:type="continuationSeparator" w:id="0">
    <w:p w:rsidR="00041C34" w:rsidRDefault="00041C34" w:rsidP="00C91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386" w:rsidRPr="00C917F1" w:rsidRDefault="006F2386">
    <w:pPr>
      <w:pStyle w:val="Header"/>
      <w:rPr>
        <w:sz w:val="28"/>
        <w:szCs w:val="28"/>
      </w:rPr>
    </w:pPr>
    <w:r w:rsidRPr="00C917F1">
      <w:rPr>
        <w:sz w:val="28"/>
        <w:szCs w:val="28"/>
      </w:rPr>
      <w:t>Patient Satisfaction Survey Results</w:t>
    </w:r>
    <w:r>
      <w:rPr>
        <w:sz w:val="28"/>
        <w:szCs w:val="28"/>
      </w:rPr>
      <w:t xml:space="preserve"> by Clinic 2014</w:t>
    </w:r>
  </w:p>
  <w:p w:rsidR="006F2386" w:rsidRDefault="006F23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v:imagedata r:id="rId1" o:title="MC900013130[1]"/>
      </v:shape>
    </w:pict>
  </w:numPicBullet>
  <w:abstractNum w:abstractNumId="0">
    <w:nsid w:val="4C1204CC"/>
    <w:multiLevelType w:val="hybridMultilevel"/>
    <w:tmpl w:val="7C36B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F9130B2"/>
    <w:multiLevelType w:val="hybridMultilevel"/>
    <w:tmpl w:val="D690E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AD5B30"/>
    <w:multiLevelType w:val="hybridMultilevel"/>
    <w:tmpl w:val="4ED81FA8"/>
    <w:lvl w:ilvl="0" w:tplc="BCBC07C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7F1"/>
    <w:rsid w:val="00000D97"/>
    <w:rsid w:val="0000149F"/>
    <w:rsid w:val="00004BAE"/>
    <w:rsid w:val="00026547"/>
    <w:rsid w:val="00036DD8"/>
    <w:rsid w:val="00041C34"/>
    <w:rsid w:val="00045D6D"/>
    <w:rsid w:val="0005578C"/>
    <w:rsid w:val="000561DA"/>
    <w:rsid w:val="00056425"/>
    <w:rsid w:val="00075DBF"/>
    <w:rsid w:val="00080E23"/>
    <w:rsid w:val="000859FC"/>
    <w:rsid w:val="00094483"/>
    <w:rsid w:val="000C10DF"/>
    <w:rsid w:val="000E3EDC"/>
    <w:rsid w:val="000E5641"/>
    <w:rsid w:val="000E56C5"/>
    <w:rsid w:val="000E7A7C"/>
    <w:rsid w:val="0010081E"/>
    <w:rsid w:val="00101D7E"/>
    <w:rsid w:val="00105833"/>
    <w:rsid w:val="00106308"/>
    <w:rsid w:val="00116C17"/>
    <w:rsid w:val="00123787"/>
    <w:rsid w:val="0012386A"/>
    <w:rsid w:val="0013119C"/>
    <w:rsid w:val="00132DC7"/>
    <w:rsid w:val="00142AF2"/>
    <w:rsid w:val="00145202"/>
    <w:rsid w:val="0014661A"/>
    <w:rsid w:val="00165C1B"/>
    <w:rsid w:val="001721BA"/>
    <w:rsid w:val="001A1260"/>
    <w:rsid w:val="001B0B1D"/>
    <w:rsid w:val="001B5236"/>
    <w:rsid w:val="001C20A1"/>
    <w:rsid w:val="001D38FA"/>
    <w:rsid w:val="001F2007"/>
    <w:rsid w:val="001F3826"/>
    <w:rsid w:val="00206CA7"/>
    <w:rsid w:val="00217DDC"/>
    <w:rsid w:val="00230456"/>
    <w:rsid w:val="00233FF0"/>
    <w:rsid w:val="00237D2C"/>
    <w:rsid w:val="00241C9B"/>
    <w:rsid w:val="00243A5C"/>
    <w:rsid w:val="00252E09"/>
    <w:rsid w:val="00253A79"/>
    <w:rsid w:val="00254981"/>
    <w:rsid w:val="0027014C"/>
    <w:rsid w:val="002A0CE1"/>
    <w:rsid w:val="002A1C06"/>
    <w:rsid w:val="002A27C2"/>
    <w:rsid w:val="002B0AC0"/>
    <w:rsid w:val="002B1082"/>
    <w:rsid w:val="002B4B06"/>
    <w:rsid w:val="002B61E2"/>
    <w:rsid w:val="002B6F28"/>
    <w:rsid w:val="002C1CF0"/>
    <w:rsid w:val="002D07A3"/>
    <w:rsid w:val="002D5B23"/>
    <w:rsid w:val="002E2CDD"/>
    <w:rsid w:val="002F1E30"/>
    <w:rsid w:val="0030458A"/>
    <w:rsid w:val="003062A6"/>
    <w:rsid w:val="00306ACE"/>
    <w:rsid w:val="0031488C"/>
    <w:rsid w:val="00325A69"/>
    <w:rsid w:val="0033565D"/>
    <w:rsid w:val="00340EAC"/>
    <w:rsid w:val="003526CC"/>
    <w:rsid w:val="0036612E"/>
    <w:rsid w:val="00367D7F"/>
    <w:rsid w:val="00373B67"/>
    <w:rsid w:val="00380137"/>
    <w:rsid w:val="00387A4D"/>
    <w:rsid w:val="003A18E3"/>
    <w:rsid w:val="003A60C6"/>
    <w:rsid w:val="003B29A3"/>
    <w:rsid w:val="003B5120"/>
    <w:rsid w:val="003C09F1"/>
    <w:rsid w:val="003D065C"/>
    <w:rsid w:val="003D06AA"/>
    <w:rsid w:val="003D1198"/>
    <w:rsid w:val="003D3881"/>
    <w:rsid w:val="003D6E60"/>
    <w:rsid w:val="003E265D"/>
    <w:rsid w:val="003E4050"/>
    <w:rsid w:val="003E7B96"/>
    <w:rsid w:val="0044128B"/>
    <w:rsid w:val="00443006"/>
    <w:rsid w:val="00444025"/>
    <w:rsid w:val="0045509E"/>
    <w:rsid w:val="00466707"/>
    <w:rsid w:val="00473587"/>
    <w:rsid w:val="00475183"/>
    <w:rsid w:val="00484D02"/>
    <w:rsid w:val="0048725B"/>
    <w:rsid w:val="00493D13"/>
    <w:rsid w:val="00494DBB"/>
    <w:rsid w:val="0049564F"/>
    <w:rsid w:val="0049766B"/>
    <w:rsid w:val="004A5B1C"/>
    <w:rsid w:val="004B15BA"/>
    <w:rsid w:val="004B45EE"/>
    <w:rsid w:val="004C22C6"/>
    <w:rsid w:val="004D1AB9"/>
    <w:rsid w:val="004E64A1"/>
    <w:rsid w:val="004F37F2"/>
    <w:rsid w:val="004F7949"/>
    <w:rsid w:val="00513255"/>
    <w:rsid w:val="00513987"/>
    <w:rsid w:val="00523A26"/>
    <w:rsid w:val="00525D03"/>
    <w:rsid w:val="00532426"/>
    <w:rsid w:val="00532E4B"/>
    <w:rsid w:val="00556F9B"/>
    <w:rsid w:val="0056277A"/>
    <w:rsid w:val="00587000"/>
    <w:rsid w:val="00596C25"/>
    <w:rsid w:val="005B6937"/>
    <w:rsid w:val="005C7623"/>
    <w:rsid w:val="005D6592"/>
    <w:rsid w:val="005E7603"/>
    <w:rsid w:val="005F03BC"/>
    <w:rsid w:val="005F4E04"/>
    <w:rsid w:val="006047BE"/>
    <w:rsid w:val="00610A2F"/>
    <w:rsid w:val="00610A5E"/>
    <w:rsid w:val="0061244E"/>
    <w:rsid w:val="00612A8A"/>
    <w:rsid w:val="0061447E"/>
    <w:rsid w:val="0061515C"/>
    <w:rsid w:val="00616AC7"/>
    <w:rsid w:val="006365FE"/>
    <w:rsid w:val="00637FD0"/>
    <w:rsid w:val="00643A2B"/>
    <w:rsid w:val="006456F9"/>
    <w:rsid w:val="00650012"/>
    <w:rsid w:val="0067277A"/>
    <w:rsid w:val="00673DCB"/>
    <w:rsid w:val="00675D57"/>
    <w:rsid w:val="00683E84"/>
    <w:rsid w:val="006852A9"/>
    <w:rsid w:val="00696640"/>
    <w:rsid w:val="006972E2"/>
    <w:rsid w:val="006B1A56"/>
    <w:rsid w:val="006C2253"/>
    <w:rsid w:val="006C3F26"/>
    <w:rsid w:val="006C7736"/>
    <w:rsid w:val="006E1A0B"/>
    <w:rsid w:val="006E6B21"/>
    <w:rsid w:val="006F2386"/>
    <w:rsid w:val="007036BF"/>
    <w:rsid w:val="00705084"/>
    <w:rsid w:val="00707935"/>
    <w:rsid w:val="0071165C"/>
    <w:rsid w:val="00726CDC"/>
    <w:rsid w:val="00766D51"/>
    <w:rsid w:val="00794195"/>
    <w:rsid w:val="00794A5A"/>
    <w:rsid w:val="007A608A"/>
    <w:rsid w:val="007B1B56"/>
    <w:rsid w:val="007D58D6"/>
    <w:rsid w:val="00806198"/>
    <w:rsid w:val="0081539F"/>
    <w:rsid w:val="00825283"/>
    <w:rsid w:val="0083298C"/>
    <w:rsid w:val="00834800"/>
    <w:rsid w:val="0085172E"/>
    <w:rsid w:val="00856721"/>
    <w:rsid w:val="00860028"/>
    <w:rsid w:val="008704E2"/>
    <w:rsid w:val="00872339"/>
    <w:rsid w:val="008743A2"/>
    <w:rsid w:val="00886B2E"/>
    <w:rsid w:val="00891DE7"/>
    <w:rsid w:val="00891F80"/>
    <w:rsid w:val="008944C9"/>
    <w:rsid w:val="00895A16"/>
    <w:rsid w:val="0089696D"/>
    <w:rsid w:val="008B3F8C"/>
    <w:rsid w:val="008B5253"/>
    <w:rsid w:val="008C53D3"/>
    <w:rsid w:val="008D1ED1"/>
    <w:rsid w:val="008E0031"/>
    <w:rsid w:val="008F2A5E"/>
    <w:rsid w:val="009017D1"/>
    <w:rsid w:val="00901F8B"/>
    <w:rsid w:val="00905853"/>
    <w:rsid w:val="0090747E"/>
    <w:rsid w:val="00910452"/>
    <w:rsid w:val="0091399B"/>
    <w:rsid w:val="00914ECE"/>
    <w:rsid w:val="0091567F"/>
    <w:rsid w:val="009221B8"/>
    <w:rsid w:val="00927E64"/>
    <w:rsid w:val="009520AA"/>
    <w:rsid w:val="00954608"/>
    <w:rsid w:val="00961308"/>
    <w:rsid w:val="00974B16"/>
    <w:rsid w:val="00980E02"/>
    <w:rsid w:val="00981F24"/>
    <w:rsid w:val="00982FB2"/>
    <w:rsid w:val="009B10F3"/>
    <w:rsid w:val="009C4143"/>
    <w:rsid w:val="009D2D40"/>
    <w:rsid w:val="009D321B"/>
    <w:rsid w:val="009D7923"/>
    <w:rsid w:val="009E6B9D"/>
    <w:rsid w:val="00A107F5"/>
    <w:rsid w:val="00A10BA4"/>
    <w:rsid w:val="00A1128A"/>
    <w:rsid w:val="00A12818"/>
    <w:rsid w:val="00A17279"/>
    <w:rsid w:val="00A5420F"/>
    <w:rsid w:val="00A55282"/>
    <w:rsid w:val="00A62230"/>
    <w:rsid w:val="00A75FBE"/>
    <w:rsid w:val="00A81A43"/>
    <w:rsid w:val="00A975D7"/>
    <w:rsid w:val="00AA32AA"/>
    <w:rsid w:val="00AA45F0"/>
    <w:rsid w:val="00AA5632"/>
    <w:rsid w:val="00AB27E4"/>
    <w:rsid w:val="00AB4906"/>
    <w:rsid w:val="00AB75BF"/>
    <w:rsid w:val="00AC57C8"/>
    <w:rsid w:val="00AD498F"/>
    <w:rsid w:val="00AD59D0"/>
    <w:rsid w:val="00AF4F70"/>
    <w:rsid w:val="00B05BF6"/>
    <w:rsid w:val="00B06E03"/>
    <w:rsid w:val="00B126A6"/>
    <w:rsid w:val="00B2555C"/>
    <w:rsid w:val="00B3374E"/>
    <w:rsid w:val="00B34EB2"/>
    <w:rsid w:val="00B36171"/>
    <w:rsid w:val="00B432AC"/>
    <w:rsid w:val="00B47731"/>
    <w:rsid w:val="00B47BF2"/>
    <w:rsid w:val="00B7147C"/>
    <w:rsid w:val="00B715F3"/>
    <w:rsid w:val="00B75308"/>
    <w:rsid w:val="00B8662B"/>
    <w:rsid w:val="00B913DD"/>
    <w:rsid w:val="00BA3A25"/>
    <w:rsid w:val="00BB2D07"/>
    <w:rsid w:val="00BC2AC0"/>
    <w:rsid w:val="00BC4D5C"/>
    <w:rsid w:val="00BD5934"/>
    <w:rsid w:val="00BE0C97"/>
    <w:rsid w:val="00BE1CF5"/>
    <w:rsid w:val="00BF3105"/>
    <w:rsid w:val="00C102C5"/>
    <w:rsid w:val="00C136B4"/>
    <w:rsid w:val="00C13B18"/>
    <w:rsid w:val="00C21057"/>
    <w:rsid w:val="00C3168E"/>
    <w:rsid w:val="00C4741A"/>
    <w:rsid w:val="00C50A38"/>
    <w:rsid w:val="00C56726"/>
    <w:rsid w:val="00C57F4C"/>
    <w:rsid w:val="00C6108F"/>
    <w:rsid w:val="00C73C76"/>
    <w:rsid w:val="00C81974"/>
    <w:rsid w:val="00C8456E"/>
    <w:rsid w:val="00C917F1"/>
    <w:rsid w:val="00C94F82"/>
    <w:rsid w:val="00C9678A"/>
    <w:rsid w:val="00CB4C3E"/>
    <w:rsid w:val="00CC0EFD"/>
    <w:rsid w:val="00CC160D"/>
    <w:rsid w:val="00CC2CD0"/>
    <w:rsid w:val="00CC5BAA"/>
    <w:rsid w:val="00CD3316"/>
    <w:rsid w:val="00CE0A79"/>
    <w:rsid w:val="00CE452C"/>
    <w:rsid w:val="00CF4F48"/>
    <w:rsid w:val="00CF5A84"/>
    <w:rsid w:val="00D03F8F"/>
    <w:rsid w:val="00D30C3E"/>
    <w:rsid w:val="00D40975"/>
    <w:rsid w:val="00D41A1B"/>
    <w:rsid w:val="00D434A8"/>
    <w:rsid w:val="00D45438"/>
    <w:rsid w:val="00D519F5"/>
    <w:rsid w:val="00D6089F"/>
    <w:rsid w:val="00D66C1C"/>
    <w:rsid w:val="00D7525E"/>
    <w:rsid w:val="00D84325"/>
    <w:rsid w:val="00D84CB0"/>
    <w:rsid w:val="00DA63BF"/>
    <w:rsid w:val="00DB2C61"/>
    <w:rsid w:val="00DB34E4"/>
    <w:rsid w:val="00DC195A"/>
    <w:rsid w:val="00DC363C"/>
    <w:rsid w:val="00DC3E30"/>
    <w:rsid w:val="00DC78A2"/>
    <w:rsid w:val="00DE0A1C"/>
    <w:rsid w:val="00DF22EB"/>
    <w:rsid w:val="00DF5C92"/>
    <w:rsid w:val="00E22A81"/>
    <w:rsid w:val="00E23AD0"/>
    <w:rsid w:val="00E267C3"/>
    <w:rsid w:val="00E50498"/>
    <w:rsid w:val="00E62E0F"/>
    <w:rsid w:val="00E6606F"/>
    <w:rsid w:val="00E746D4"/>
    <w:rsid w:val="00E75179"/>
    <w:rsid w:val="00E8138B"/>
    <w:rsid w:val="00EA28FE"/>
    <w:rsid w:val="00EA3486"/>
    <w:rsid w:val="00EA62FE"/>
    <w:rsid w:val="00EA6881"/>
    <w:rsid w:val="00EB132F"/>
    <w:rsid w:val="00EC02C9"/>
    <w:rsid w:val="00EC2F0C"/>
    <w:rsid w:val="00EC50DC"/>
    <w:rsid w:val="00EC6141"/>
    <w:rsid w:val="00ED292D"/>
    <w:rsid w:val="00ED69A3"/>
    <w:rsid w:val="00EF03E0"/>
    <w:rsid w:val="00EF14FE"/>
    <w:rsid w:val="00EF25B0"/>
    <w:rsid w:val="00EF6B37"/>
    <w:rsid w:val="00EF7BFE"/>
    <w:rsid w:val="00F03F8E"/>
    <w:rsid w:val="00F06F10"/>
    <w:rsid w:val="00F25484"/>
    <w:rsid w:val="00F26312"/>
    <w:rsid w:val="00F400C1"/>
    <w:rsid w:val="00F57316"/>
    <w:rsid w:val="00F57C51"/>
    <w:rsid w:val="00F71058"/>
    <w:rsid w:val="00F80043"/>
    <w:rsid w:val="00F85CC4"/>
    <w:rsid w:val="00F92C51"/>
    <w:rsid w:val="00F95413"/>
    <w:rsid w:val="00FA5680"/>
    <w:rsid w:val="00FA5BF5"/>
    <w:rsid w:val="00FC1509"/>
    <w:rsid w:val="00FC51DE"/>
    <w:rsid w:val="00FD566B"/>
    <w:rsid w:val="00FD67E6"/>
    <w:rsid w:val="00FD6E36"/>
    <w:rsid w:val="00FE1499"/>
    <w:rsid w:val="00FE2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style="mso-position-horizontal:center;mso-position-horizontal-relative:right-margin-area;mso-position-vertical:center;mso-position-vertical-relative:page;mso-height-percent:1050" o:allowincell="f" fillcolor="none [3212]" strokecolor="none [2408]">
      <v:fill color="none [3212]"/>
      <v:stroke color="none [240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0C10DF"/>
    <w:pPr>
      <w:spacing w:after="0" w:line="240" w:lineRule="auto"/>
    </w:pPr>
  </w:style>
  <w:style w:type="paragraph" w:styleId="Heading1">
    <w:name w:val="heading 1"/>
    <w:basedOn w:val="Normal"/>
    <w:next w:val="Normal"/>
    <w:link w:val="Heading1Char"/>
    <w:uiPriority w:val="9"/>
    <w:qFormat/>
    <w:rsid w:val="00BC2A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2A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C10DF"/>
    <w:pPr>
      <w:spacing w:after="0" w:line="240" w:lineRule="auto"/>
    </w:pPr>
  </w:style>
  <w:style w:type="paragraph" w:styleId="Header">
    <w:name w:val="header"/>
    <w:basedOn w:val="Normal"/>
    <w:link w:val="HeaderChar"/>
    <w:uiPriority w:val="99"/>
    <w:unhideWhenUsed/>
    <w:rsid w:val="00C917F1"/>
    <w:pPr>
      <w:tabs>
        <w:tab w:val="center" w:pos="4680"/>
        <w:tab w:val="right" w:pos="9360"/>
      </w:tabs>
    </w:pPr>
  </w:style>
  <w:style w:type="character" w:customStyle="1" w:styleId="HeaderChar">
    <w:name w:val="Header Char"/>
    <w:basedOn w:val="DefaultParagraphFont"/>
    <w:link w:val="Header"/>
    <w:uiPriority w:val="99"/>
    <w:rsid w:val="00C917F1"/>
  </w:style>
  <w:style w:type="paragraph" w:styleId="Footer">
    <w:name w:val="footer"/>
    <w:basedOn w:val="Normal"/>
    <w:link w:val="FooterChar"/>
    <w:uiPriority w:val="99"/>
    <w:unhideWhenUsed/>
    <w:rsid w:val="00C917F1"/>
    <w:pPr>
      <w:tabs>
        <w:tab w:val="center" w:pos="4680"/>
        <w:tab w:val="right" w:pos="9360"/>
      </w:tabs>
    </w:pPr>
  </w:style>
  <w:style w:type="character" w:customStyle="1" w:styleId="FooterChar">
    <w:name w:val="Footer Char"/>
    <w:basedOn w:val="DefaultParagraphFont"/>
    <w:link w:val="Footer"/>
    <w:uiPriority w:val="99"/>
    <w:rsid w:val="00C917F1"/>
  </w:style>
  <w:style w:type="paragraph" w:styleId="BalloonText">
    <w:name w:val="Balloon Text"/>
    <w:basedOn w:val="Normal"/>
    <w:link w:val="BalloonTextChar"/>
    <w:uiPriority w:val="99"/>
    <w:semiHidden/>
    <w:unhideWhenUsed/>
    <w:rsid w:val="00C917F1"/>
    <w:rPr>
      <w:rFonts w:ascii="Tahoma" w:hAnsi="Tahoma" w:cs="Tahoma"/>
      <w:sz w:val="16"/>
      <w:szCs w:val="16"/>
    </w:rPr>
  </w:style>
  <w:style w:type="character" w:customStyle="1" w:styleId="BalloonTextChar">
    <w:name w:val="Balloon Text Char"/>
    <w:basedOn w:val="DefaultParagraphFont"/>
    <w:link w:val="BalloonText"/>
    <w:uiPriority w:val="99"/>
    <w:semiHidden/>
    <w:rsid w:val="00C917F1"/>
    <w:rPr>
      <w:rFonts w:ascii="Tahoma" w:hAnsi="Tahoma" w:cs="Tahoma"/>
      <w:sz w:val="16"/>
      <w:szCs w:val="16"/>
    </w:rPr>
  </w:style>
  <w:style w:type="character" w:customStyle="1" w:styleId="Heading1Char">
    <w:name w:val="Heading 1 Char"/>
    <w:basedOn w:val="DefaultParagraphFont"/>
    <w:link w:val="Heading1"/>
    <w:uiPriority w:val="9"/>
    <w:rsid w:val="00BC2A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C2AC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C3F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E6B9D"/>
    <w:pPr>
      <w:ind w:left="720"/>
      <w:contextualSpacing/>
    </w:pPr>
  </w:style>
  <w:style w:type="paragraph" w:styleId="TOCHeading">
    <w:name w:val="TOC Heading"/>
    <w:basedOn w:val="Heading1"/>
    <w:next w:val="Normal"/>
    <w:uiPriority w:val="39"/>
    <w:semiHidden/>
    <w:unhideWhenUsed/>
    <w:qFormat/>
    <w:rsid w:val="00EF14FE"/>
    <w:pPr>
      <w:spacing w:line="276" w:lineRule="auto"/>
      <w:outlineLvl w:val="9"/>
    </w:pPr>
  </w:style>
  <w:style w:type="paragraph" w:styleId="TOC1">
    <w:name w:val="toc 1"/>
    <w:basedOn w:val="Normal"/>
    <w:next w:val="Normal"/>
    <w:autoRedefine/>
    <w:uiPriority w:val="39"/>
    <w:unhideWhenUsed/>
    <w:rsid w:val="00EF14FE"/>
    <w:pPr>
      <w:spacing w:after="100"/>
    </w:pPr>
  </w:style>
  <w:style w:type="paragraph" w:styleId="TOC2">
    <w:name w:val="toc 2"/>
    <w:basedOn w:val="Normal"/>
    <w:next w:val="Normal"/>
    <w:autoRedefine/>
    <w:uiPriority w:val="39"/>
    <w:unhideWhenUsed/>
    <w:rsid w:val="00EF14FE"/>
    <w:pPr>
      <w:spacing w:after="100"/>
      <w:ind w:left="220"/>
    </w:pPr>
  </w:style>
  <w:style w:type="character" w:styleId="Hyperlink">
    <w:name w:val="Hyperlink"/>
    <w:basedOn w:val="DefaultParagraphFont"/>
    <w:uiPriority w:val="99"/>
    <w:unhideWhenUsed/>
    <w:rsid w:val="00EF14FE"/>
    <w:rPr>
      <w:color w:val="0000FF" w:themeColor="hyperlink"/>
      <w:u w:val="single"/>
    </w:rPr>
  </w:style>
  <w:style w:type="character" w:customStyle="1" w:styleId="NoSpacingChar">
    <w:name w:val="No Spacing Char"/>
    <w:basedOn w:val="DefaultParagraphFont"/>
    <w:link w:val="NoSpacing"/>
    <w:uiPriority w:val="1"/>
    <w:rsid w:val="00EF14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0C10DF"/>
    <w:pPr>
      <w:spacing w:after="0" w:line="240" w:lineRule="auto"/>
    </w:pPr>
  </w:style>
  <w:style w:type="paragraph" w:styleId="Heading1">
    <w:name w:val="heading 1"/>
    <w:basedOn w:val="Normal"/>
    <w:next w:val="Normal"/>
    <w:link w:val="Heading1Char"/>
    <w:uiPriority w:val="9"/>
    <w:qFormat/>
    <w:rsid w:val="00BC2A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2A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C10DF"/>
    <w:pPr>
      <w:spacing w:after="0" w:line="240" w:lineRule="auto"/>
    </w:pPr>
  </w:style>
  <w:style w:type="paragraph" w:styleId="Header">
    <w:name w:val="header"/>
    <w:basedOn w:val="Normal"/>
    <w:link w:val="HeaderChar"/>
    <w:uiPriority w:val="99"/>
    <w:unhideWhenUsed/>
    <w:rsid w:val="00C917F1"/>
    <w:pPr>
      <w:tabs>
        <w:tab w:val="center" w:pos="4680"/>
        <w:tab w:val="right" w:pos="9360"/>
      </w:tabs>
    </w:pPr>
  </w:style>
  <w:style w:type="character" w:customStyle="1" w:styleId="HeaderChar">
    <w:name w:val="Header Char"/>
    <w:basedOn w:val="DefaultParagraphFont"/>
    <w:link w:val="Header"/>
    <w:uiPriority w:val="99"/>
    <w:rsid w:val="00C917F1"/>
  </w:style>
  <w:style w:type="paragraph" w:styleId="Footer">
    <w:name w:val="footer"/>
    <w:basedOn w:val="Normal"/>
    <w:link w:val="FooterChar"/>
    <w:uiPriority w:val="99"/>
    <w:unhideWhenUsed/>
    <w:rsid w:val="00C917F1"/>
    <w:pPr>
      <w:tabs>
        <w:tab w:val="center" w:pos="4680"/>
        <w:tab w:val="right" w:pos="9360"/>
      </w:tabs>
    </w:pPr>
  </w:style>
  <w:style w:type="character" w:customStyle="1" w:styleId="FooterChar">
    <w:name w:val="Footer Char"/>
    <w:basedOn w:val="DefaultParagraphFont"/>
    <w:link w:val="Footer"/>
    <w:uiPriority w:val="99"/>
    <w:rsid w:val="00C917F1"/>
  </w:style>
  <w:style w:type="paragraph" w:styleId="BalloonText">
    <w:name w:val="Balloon Text"/>
    <w:basedOn w:val="Normal"/>
    <w:link w:val="BalloonTextChar"/>
    <w:uiPriority w:val="99"/>
    <w:semiHidden/>
    <w:unhideWhenUsed/>
    <w:rsid w:val="00C917F1"/>
    <w:rPr>
      <w:rFonts w:ascii="Tahoma" w:hAnsi="Tahoma" w:cs="Tahoma"/>
      <w:sz w:val="16"/>
      <w:szCs w:val="16"/>
    </w:rPr>
  </w:style>
  <w:style w:type="character" w:customStyle="1" w:styleId="BalloonTextChar">
    <w:name w:val="Balloon Text Char"/>
    <w:basedOn w:val="DefaultParagraphFont"/>
    <w:link w:val="BalloonText"/>
    <w:uiPriority w:val="99"/>
    <w:semiHidden/>
    <w:rsid w:val="00C917F1"/>
    <w:rPr>
      <w:rFonts w:ascii="Tahoma" w:hAnsi="Tahoma" w:cs="Tahoma"/>
      <w:sz w:val="16"/>
      <w:szCs w:val="16"/>
    </w:rPr>
  </w:style>
  <w:style w:type="character" w:customStyle="1" w:styleId="Heading1Char">
    <w:name w:val="Heading 1 Char"/>
    <w:basedOn w:val="DefaultParagraphFont"/>
    <w:link w:val="Heading1"/>
    <w:uiPriority w:val="9"/>
    <w:rsid w:val="00BC2A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C2AC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6C3F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E6B9D"/>
    <w:pPr>
      <w:ind w:left="720"/>
      <w:contextualSpacing/>
    </w:pPr>
  </w:style>
  <w:style w:type="paragraph" w:styleId="TOCHeading">
    <w:name w:val="TOC Heading"/>
    <w:basedOn w:val="Heading1"/>
    <w:next w:val="Normal"/>
    <w:uiPriority w:val="39"/>
    <w:semiHidden/>
    <w:unhideWhenUsed/>
    <w:qFormat/>
    <w:rsid w:val="00EF14FE"/>
    <w:pPr>
      <w:spacing w:line="276" w:lineRule="auto"/>
      <w:outlineLvl w:val="9"/>
    </w:pPr>
  </w:style>
  <w:style w:type="paragraph" w:styleId="TOC1">
    <w:name w:val="toc 1"/>
    <w:basedOn w:val="Normal"/>
    <w:next w:val="Normal"/>
    <w:autoRedefine/>
    <w:uiPriority w:val="39"/>
    <w:unhideWhenUsed/>
    <w:rsid w:val="00EF14FE"/>
    <w:pPr>
      <w:spacing w:after="100"/>
    </w:pPr>
  </w:style>
  <w:style w:type="paragraph" w:styleId="TOC2">
    <w:name w:val="toc 2"/>
    <w:basedOn w:val="Normal"/>
    <w:next w:val="Normal"/>
    <w:autoRedefine/>
    <w:uiPriority w:val="39"/>
    <w:unhideWhenUsed/>
    <w:rsid w:val="00EF14FE"/>
    <w:pPr>
      <w:spacing w:after="100"/>
      <w:ind w:left="220"/>
    </w:pPr>
  </w:style>
  <w:style w:type="character" w:styleId="Hyperlink">
    <w:name w:val="Hyperlink"/>
    <w:basedOn w:val="DefaultParagraphFont"/>
    <w:uiPriority w:val="99"/>
    <w:unhideWhenUsed/>
    <w:rsid w:val="00EF14FE"/>
    <w:rPr>
      <w:color w:val="0000FF" w:themeColor="hyperlink"/>
      <w:u w:val="single"/>
    </w:rPr>
  </w:style>
  <w:style w:type="character" w:customStyle="1" w:styleId="NoSpacingChar">
    <w:name w:val="No Spacing Char"/>
    <w:basedOn w:val="DefaultParagraphFont"/>
    <w:link w:val="NoSpacing"/>
    <w:uiPriority w:val="1"/>
    <w:rsid w:val="00EF1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508537">
      <w:bodyDiv w:val="1"/>
      <w:marLeft w:val="0"/>
      <w:marRight w:val="0"/>
      <w:marTop w:val="0"/>
      <w:marBottom w:val="0"/>
      <w:divBdr>
        <w:top w:val="none" w:sz="0" w:space="0" w:color="auto"/>
        <w:left w:val="none" w:sz="0" w:space="0" w:color="auto"/>
        <w:bottom w:val="none" w:sz="0" w:space="0" w:color="auto"/>
        <w:right w:val="none" w:sz="0" w:space="0" w:color="auto"/>
      </w:divBdr>
    </w:div>
    <w:div w:id="1297419434">
      <w:bodyDiv w:val="1"/>
      <w:marLeft w:val="0"/>
      <w:marRight w:val="0"/>
      <w:marTop w:val="0"/>
      <w:marBottom w:val="0"/>
      <w:divBdr>
        <w:top w:val="none" w:sz="0" w:space="0" w:color="auto"/>
        <w:left w:val="none" w:sz="0" w:space="0" w:color="auto"/>
        <w:bottom w:val="none" w:sz="0" w:space="0" w:color="auto"/>
        <w:right w:val="none" w:sz="0" w:space="0" w:color="auto"/>
      </w:divBdr>
    </w:div>
    <w:div w:id="206629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chart" Target="charts/chart29.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chart" Target="charts/chart24.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chart" Target="charts/chart28.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chart" Target="charts/chart27.xm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chart" Target="charts/chart26.xml"/><Relationship Id="rId10" Type="http://schemas.openxmlformats.org/officeDocument/2006/relationships/image" Target="media/image3.jpeg"/><Relationship Id="rId19" Type="http://schemas.openxmlformats.org/officeDocument/2006/relationships/chart" Target="charts/chart9.xml"/><Relationship Id="rId31" Type="http://schemas.openxmlformats.org/officeDocument/2006/relationships/chart" Target="charts/chart2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oleObject" Target="file:///\\AHCDFS.AHC.UFL.EDU\FILES\DN\PERSONAL\lshaddox\UFCD-H-Drive\Committees%20&amp;%20Meetings\QA-CA%20Committee\Patient%20satisfaction\2014\results%202014\Focused%20Patient%20Satisfaction%20Survey%202014%20percent%20surveys.xlsx"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25.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Worksheet26.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Excel_Worksheet27.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Excel_Worksheet28.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Percent Surveys</a:t>
            </a:r>
            <a:r>
              <a:rPr lang="en-US" baseline="0"/>
              <a:t> Returned</a:t>
            </a:r>
            <a:endParaRPr lang="en-US"/>
          </a:p>
        </c:rich>
      </c:tx>
      <c:layout/>
      <c:overlay val="0"/>
    </c:title>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'2014 Focused PSS'!$A$4:$A$21</c:f>
              <c:strCache>
                <c:ptCount val="18"/>
                <c:pt idx="0">
                  <c:v>TEAMS 2A</c:v>
                </c:pt>
                <c:pt idx="1">
                  <c:v>TEAMS 2B</c:v>
                </c:pt>
                <c:pt idx="2">
                  <c:v>TEAMS 3A</c:v>
                </c:pt>
                <c:pt idx="3">
                  <c:v>TEAMS 3B</c:v>
                </c:pt>
                <c:pt idx="4">
                  <c:v>Faculty Practice</c:v>
                </c:pt>
                <c:pt idx="5">
                  <c:v>Grad Pros</c:v>
                </c:pt>
                <c:pt idx="6">
                  <c:v>Grad Perio</c:v>
                </c:pt>
                <c:pt idx="7">
                  <c:v>Grad &amp; UEndo</c:v>
                </c:pt>
                <c:pt idx="8">
                  <c:v>Implant Center</c:v>
                </c:pt>
                <c:pt idx="9">
                  <c:v>Oral Medicine</c:v>
                </c:pt>
                <c:pt idx="10">
                  <c:v>Oral Surgery </c:v>
                </c:pt>
                <c:pt idx="11">
                  <c:v>Orthodontics</c:v>
                </c:pt>
                <c:pt idx="12">
                  <c:v>Pediatrics</c:v>
                </c:pt>
                <c:pt idx="13">
                  <c:v>SOS</c:v>
                </c:pt>
                <c:pt idx="14">
                  <c:v>Radiology</c:v>
                </c:pt>
                <c:pt idx="15">
                  <c:v>Cashier</c:v>
                </c:pt>
                <c:pt idx="16">
                  <c:v>Hialeah</c:v>
                </c:pt>
                <c:pt idx="17">
                  <c:v>St. Pete</c:v>
                </c:pt>
              </c:strCache>
            </c:strRef>
          </c:cat>
          <c:val>
            <c:numRef>
              <c:f>'2014 Focused PSS'!$J$4:$J$21</c:f>
              <c:numCache>
                <c:formatCode>General</c:formatCode>
                <c:ptCount val="18"/>
                <c:pt idx="0">
                  <c:v>58</c:v>
                </c:pt>
                <c:pt idx="1">
                  <c:v>81</c:v>
                </c:pt>
                <c:pt idx="2">
                  <c:v>69</c:v>
                </c:pt>
                <c:pt idx="3">
                  <c:v>80</c:v>
                </c:pt>
                <c:pt idx="4">
                  <c:v>10</c:v>
                </c:pt>
                <c:pt idx="5">
                  <c:v>93</c:v>
                </c:pt>
                <c:pt idx="6">
                  <c:v>23</c:v>
                </c:pt>
                <c:pt idx="7">
                  <c:v>76</c:v>
                </c:pt>
                <c:pt idx="8">
                  <c:v>58</c:v>
                </c:pt>
                <c:pt idx="9">
                  <c:v>83</c:v>
                </c:pt>
                <c:pt idx="10">
                  <c:v>10</c:v>
                </c:pt>
                <c:pt idx="11" formatCode="0">
                  <c:v>37.333333333333336</c:v>
                </c:pt>
                <c:pt idx="12">
                  <c:v>18</c:v>
                </c:pt>
                <c:pt idx="13">
                  <c:v>30</c:v>
                </c:pt>
                <c:pt idx="14">
                  <c:v>43</c:v>
                </c:pt>
                <c:pt idx="16">
                  <c:v>30</c:v>
                </c:pt>
                <c:pt idx="17">
                  <c:v>12</c:v>
                </c:pt>
              </c:numCache>
            </c:numRef>
          </c:val>
        </c:ser>
        <c:dLbls>
          <c:showLegendKey val="0"/>
          <c:showVal val="0"/>
          <c:showCatName val="0"/>
          <c:showSerName val="0"/>
          <c:showPercent val="0"/>
          <c:showBubbleSize val="0"/>
        </c:dLbls>
        <c:gapWidth val="150"/>
        <c:axId val="106115072"/>
        <c:axId val="106117760"/>
      </c:barChart>
      <c:catAx>
        <c:axId val="106115072"/>
        <c:scaling>
          <c:orientation val="minMax"/>
        </c:scaling>
        <c:delete val="0"/>
        <c:axPos val="b"/>
        <c:majorTickMark val="out"/>
        <c:minorTickMark val="none"/>
        <c:tickLblPos val="nextTo"/>
        <c:crossAx val="106117760"/>
        <c:crosses val="autoZero"/>
        <c:auto val="1"/>
        <c:lblAlgn val="ctr"/>
        <c:lblOffset val="100"/>
        <c:noMultiLvlLbl val="0"/>
      </c:catAx>
      <c:valAx>
        <c:axId val="106117760"/>
        <c:scaling>
          <c:orientation val="minMax"/>
        </c:scaling>
        <c:delete val="0"/>
        <c:axPos val="l"/>
        <c:majorGridlines/>
        <c:numFmt formatCode="General" sourceLinked="1"/>
        <c:majorTickMark val="out"/>
        <c:minorTickMark val="none"/>
        <c:tickLblPos val="nextTo"/>
        <c:crossAx val="106115072"/>
        <c:crosses val="autoZero"/>
        <c:crossBetween val="between"/>
      </c:valAx>
    </c:plotArea>
    <c:plotVisOnly val="1"/>
    <c:dispBlanksAs val="gap"/>
    <c:showDLblsOverMax val="0"/>
  </c:chart>
  <c:spPr>
    <a:ln>
      <a:solidFill>
        <a:schemeClr val="accent1"/>
      </a:solid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Length of Time as a Patient</a:t>
            </a:r>
          </a:p>
        </c:rich>
      </c:tx>
      <c:layout/>
      <c:overlay val="0"/>
    </c:title>
    <c:autoTitleDeleted val="0"/>
    <c:plotArea>
      <c:layout/>
      <c:barChart>
        <c:barDir val="col"/>
        <c:grouping val="clustered"/>
        <c:varyColors val="0"/>
        <c:ser>
          <c:idx val="0"/>
          <c:order val="0"/>
          <c:tx>
            <c:strRef>
              <c:f>Sheet1!$B$1</c:f>
              <c:strCache>
                <c:ptCount val="1"/>
                <c:pt idx="0">
                  <c:v>Student Clinics</c:v>
                </c:pt>
              </c:strCache>
            </c:strRef>
          </c:tx>
          <c:invertIfNegative val="0"/>
          <c:cat>
            <c:strRef>
              <c:f>Sheet1!$A$2:$A$6</c:f>
              <c:strCache>
                <c:ptCount val="5"/>
                <c:pt idx="0">
                  <c:v>Less than 6 months</c:v>
                </c:pt>
                <c:pt idx="1">
                  <c:v>6 months to 1 year</c:v>
                </c:pt>
                <c:pt idx="2">
                  <c:v>1 to 2 years</c:v>
                </c:pt>
                <c:pt idx="3">
                  <c:v>2 to 5 years</c:v>
                </c:pt>
                <c:pt idx="4">
                  <c:v>More than 5 years</c:v>
                </c:pt>
              </c:strCache>
            </c:strRef>
          </c:cat>
          <c:val>
            <c:numRef>
              <c:f>Sheet1!$B$2:$B$6</c:f>
              <c:numCache>
                <c:formatCode>0.0%</c:formatCode>
                <c:ptCount val="5"/>
                <c:pt idx="0">
                  <c:v>0.4</c:v>
                </c:pt>
                <c:pt idx="1">
                  <c:v>0.17599999999999999</c:v>
                </c:pt>
                <c:pt idx="2">
                  <c:v>0.158</c:v>
                </c:pt>
                <c:pt idx="3">
                  <c:v>0.13</c:v>
                </c:pt>
                <c:pt idx="4">
                  <c:v>0.13700000000000001</c:v>
                </c:pt>
              </c:numCache>
            </c:numRef>
          </c:val>
        </c:ser>
        <c:ser>
          <c:idx val="1"/>
          <c:order val="1"/>
          <c:tx>
            <c:strRef>
              <c:f>Sheet1!$C$1</c:f>
              <c:strCache>
                <c:ptCount val="1"/>
                <c:pt idx="0">
                  <c:v>Faculty Practice</c:v>
                </c:pt>
              </c:strCache>
            </c:strRef>
          </c:tx>
          <c:spPr>
            <a:solidFill>
              <a:schemeClr val="accent6"/>
            </a:solidFill>
            <a:ln>
              <a:solidFill>
                <a:schemeClr val="accent6"/>
              </a:solidFill>
            </a:ln>
          </c:spPr>
          <c:invertIfNegative val="0"/>
          <c:cat>
            <c:strRef>
              <c:f>Sheet1!$A$2:$A$6</c:f>
              <c:strCache>
                <c:ptCount val="5"/>
                <c:pt idx="0">
                  <c:v>Less than 6 months</c:v>
                </c:pt>
                <c:pt idx="1">
                  <c:v>6 months to 1 year</c:v>
                </c:pt>
                <c:pt idx="2">
                  <c:v>1 to 2 years</c:v>
                </c:pt>
                <c:pt idx="3">
                  <c:v>2 to 5 years</c:v>
                </c:pt>
                <c:pt idx="4">
                  <c:v>More than 5 years</c:v>
                </c:pt>
              </c:strCache>
            </c:strRef>
          </c:cat>
          <c:val>
            <c:numRef>
              <c:f>Sheet1!$C$2:$C$6</c:f>
              <c:numCache>
                <c:formatCode>0.0%</c:formatCode>
                <c:ptCount val="5"/>
                <c:pt idx="0">
                  <c:v>0.30399999999999999</c:v>
                </c:pt>
                <c:pt idx="1">
                  <c:v>8.6999999999999994E-2</c:v>
                </c:pt>
                <c:pt idx="2">
                  <c:v>0.217</c:v>
                </c:pt>
                <c:pt idx="3">
                  <c:v>0.13</c:v>
                </c:pt>
                <c:pt idx="4">
                  <c:v>0.26100000000000001</c:v>
                </c:pt>
              </c:numCache>
            </c:numRef>
          </c:val>
        </c:ser>
        <c:ser>
          <c:idx val="2"/>
          <c:order val="2"/>
          <c:tx>
            <c:strRef>
              <c:f>Sheet1!$D$1</c:f>
              <c:strCache>
                <c:ptCount val="1"/>
                <c:pt idx="0">
                  <c:v>Graduate Endodontics</c:v>
                </c:pt>
              </c:strCache>
            </c:strRef>
          </c:tx>
          <c:invertIfNegative val="0"/>
          <c:cat>
            <c:strRef>
              <c:f>Sheet1!$A$2:$A$6</c:f>
              <c:strCache>
                <c:ptCount val="5"/>
                <c:pt idx="0">
                  <c:v>Less than 6 months</c:v>
                </c:pt>
                <c:pt idx="1">
                  <c:v>6 months to 1 year</c:v>
                </c:pt>
                <c:pt idx="2">
                  <c:v>1 to 2 years</c:v>
                </c:pt>
                <c:pt idx="3">
                  <c:v>2 to 5 years</c:v>
                </c:pt>
                <c:pt idx="4">
                  <c:v>More than 5 years</c:v>
                </c:pt>
              </c:strCache>
            </c:strRef>
          </c:cat>
          <c:val>
            <c:numRef>
              <c:f>Sheet1!$D$2:$D$6</c:f>
              <c:numCache>
                <c:formatCode>0.0%</c:formatCode>
                <c:ptCount val="5"/>
                <c:pt idx="0">
                  <c:v>0.55600000000000005</c:v>
                </c:pt>
                <c:pt idx="1">
                  <c:v>5.6000000000000001E-2</c:v>
                </c:pt>
                <c:pt idx="2">
                  <c:v>0.16700000000000001</c:v>
                </c:pt>
                <c:pt idx="3">
                  <c:v>7.3999999999999996E-2</c:v>
                </c:pt>
                <c:pt idx="4">
                  <c:v>0.14799999999999999</c:v>
                </c:pt>
              </c:numCache>
            </c:numRef>
          </c:val>
        </c:ser>
        <c:ser>
          <c:idx val="3"/>
          <c:order val="3"/>
          <c:tx>
            <c:strRef>
              <c:f>Sheet1!$E$1</c:f>
              <c:strCache>
                <c:ptCount val="1"/>
                <c:pt idx="0">
                  <c:v>Grad Periodontics</c:v>
                </c:pt>
              </c:strCache>
            </c:strRef>
          </c:tx>
          <c:spPr>
            <a:solidFill>
              <a:schemeClr val="tx2"/>
            </a:solidFill>
            <a:ln>
              <a:solidFill>
                <a:schemeClr val="tx2"/>
              </a:solidFill>
            </a:ln>
          </c:spPr>
          <c:invertIfNegative val="0"/>
          <c:cat>
            <c:strRef>
              <c:f>Sheet1!$A$2:$A$6</c:f>
              <c:strCache>
                <c:ptCount val="5"/>
                <c:pt idx="0">
                  <c:v>Less than 6 months</c:v>
                </c:pt>
                <c:pt idx="1">
                  <c:v>6 months to 1 year</c:v>
                </c:pt>
                <c:pt idx="2">
                  <c:v>1 to 2 years</c:v>
                </c:pt>
                <c:pt idx="3">
                  <c:v>2 to 5 years</c:v>
                </c:pt>
                <c:pt idx="4">
                  <c:v>More than 5 years</c:v>
                </c:pt>
              </c:strCache>
            </c:strRef>
          </c:cat>
          <c:val>
            <c:numRef>
              <c:f>Sheet1!$E$2:$E$6</c:f>
              <c:numCache>
                <c:formatCode>0.0%</c:formatCode>
                <c:ptCount val="5"/>
                <c:pt idx="0">
                  <c:v>0.16700000000000001</c:v>
                </c:pt>
                <c:pt idx="1">
                  <c:v>0.1</c:v>
                </c:pt>
                <c:pt idx="2">
                  <c:v>0.1</c:v>
                </c:pt>
                <c:pt idx="3">
                  <c:v>0.16700000000000001</c:v>
                </c:pt>
                <c:pt idx="4">
                  <c:v>0.46700000000000003</c:v>
                </c:pt>
              </c:numCache>
            </c:numRef>
          </c:val>
        </c:ser>
        <c:ser>
          <c:idx val="4"/>
          <c:order val="4"/>
          <c:tx>
            <c:strRef>
              <c:f>Sheet1!$F$1</c:f>
              <c:strCache>
                <c:ptCount val="1"/>
                <c:pt idx="0">
                  <c:v>Grad Prosthodontics</c:v>
                </c:pt>
              </c:strCache>
            </c:strRef>
          </c:tx>
          <c:spPr>
            <a:solidFill>
              <a:schemeClr val="accent1">
                <a:lumMod val="20000"/>
                <a:lumOff val="80000"/>
              </a:schemeClr>
            </a:solidFill>
            <a:ln>
              <a:solidFill>
                <a:schemeClr val="accent1">
                  <a:lumMod val="20000"/>
                  <a:lumOff val="80000"/>
                </a:schemeClr>
              </a:solidFill>
            </a:ln>
          </c:spPr>
          <c:invertIfNegative val="0"/>
          <c:cat>
            <c:strRef>
              <c:f>Sheet1!$A$2:$A$6</c:f>
              <c:strCache>
                <c:ptCount val="5"/>
                <c:pt idx="0">
                  <c:v>Less than 6 months</c:v>
                </c:pt>
                <c:pt idx="1">
                  <c:v>6 months to 1 year</c:v>
                </c:pt>
                <c:pt idx="2">
                  <c:v>1 to 2 years</c:v>
                </c:pt>
                <c:pt idx="3">
                  <c:v>2 to 5 years</c:v>
                </c:pt>
                <c:pt idx="4">
                  <c:v>More than 5 years</c:v>
                </c:pt>
              </c:strCache>
            </c:strRef>
          </c:cat>
          <c:val>
            <c:numRef>
              <c:f>Sheet1!$F$2:$F$6</c:f>
              <c:numCache>
                <c:formatCode>0.0%</c:formatCode>
                <c:ptCount val="5"/>
                <c:pt idx="0">
                  <c:v>0.21099999999999999</c:v>
                </c:pt>
                <c:pt idx="1">
                  <c:v>0.26300000000000001</c:v>
                </c:pt>
                <c:pt idx="2">
                  <c:v>0.13200000000000001</c:v>
                </c:pt>
                <c:pt idx="3">
                  <c:v>7.9000000000000001E-2</c:v>
                </c:pt>
                <c:pt idx="4">
                  <c:v>0.316</c:v>
                </c:pt>
              </c:numCache>
            </c:numRef>
          </c:val>
        </c:ser>
        <c:ser>
          <c:idx val="5"/>
          <c:order val="5"/>
          <c:tx>
            <c:strRef>
              <c:f>Sheet1!$G$1</c:f>
              <c:strCache>
                <c:ptCount val="1"/>
                <c:pt idx="0">
                  <c:v>Hialeah</c:v>
                </c:pt>
              </c:strCache>
            </c:strRef>
          </c:tx>
          <c:spPr>
            <a:solidFill>
              <a:schemeClr val="accent6">
                <a:lumMod val="60000"/>
                <a:lumOff val="40000"/>
              </a:schemeClr>
            </a:solidFill>
            <a:ln>
              <a:solidFill>
                <a:schemeClr val="accent6">
                  <a:lumMod val="60000"/>
                  <a:lumOff val="40000"/>
                </a:schemeClr>
              </a:solidFill>
            </a:ln>
          </c:spPr>
          <c:invertIfNegative val="0"/>
          <c:cat>
            <c:strRef>
              <c:f>Sheet1!$A$2:$A$6</c:f>
              <c:strCache>
                <c:ptCount val="5"/>
                <c:pt idx="0">
                  <c:v>Less than 6 months</c:v>
                </c:pt>
                <c:pt idx="1">
                  <c:v>6 months to 1 year</c:v>
                </c:pt>
                <c:pt idx="2">
                  <c:v>1 to 2 years</c:v>
                </c:pt>
                <c:pt idx="3">
                  <c:v>2 to 5 years</c:v>
                </c:pt>
                <c:pt idx="4">
                  <c:v>More than 5 years</c:v>
                </c:pt>
              </c:strCache>
            </c:strRef>
          </c:cat>
          <c:val>
            <c:numRef>
              <c:f>Sheet1!$G$2:$G$6</c:f>
              <c:numCache>
                <c:formatCode>0.0%</c:formatCode>
                <c:ptCount val="5"/>
                <c:pt idx="0">
                  <c:v>0.57699999999999996</c:v>
                </c:pt>
                <c:pt idx="1">
                  <c:v>0.113</c:v>
                </c:pt>
                <c:pt idx="2">
                  <c:v>0.155</c:v>
                </c:pt>
                <c:pt idx="3">
                  <c:v>7.0000000000000007E-2</c:v>
                </c:pt>
                <c:pt idx="4">
                  <c:v>8.5000000000000006E-2</c:v>
                </c:pt>
              </c:numCache>
            </c:numRef>
          </c:val>
        </c:ser>
        <c:ser>
          <c:idx val="6"/>
          <c:order val="6"/>
          <c:tx>
            <c:strRef>
              <c:f>Sheet1!$H$1</c:f>
              <c:strCache>
                <c:ptCount val="1"/>
                <c:pt idx="0">
                  <c:v>Oral Medicine</c:v>
                </c:pt>
              </c:strCache>
            </c:strRef>
          </c:tx>
          <c:spPr>
            <a:solidFill>
              <a:schemeClr val="accent3">
                <a:lumMod val="50000"/>
              </a:schemeClr>
            </a:solidFill>
            <a:ln>
              <a:solidFill>
                <a:schemeClr val="accent3">
                  <a:lumMod val="50000"/>
                </a:schemeClr>
              </a:solidFill>
            </a:ln>
          </c:spPr>
          <c:invertIfNegative val="0"/>
          <c:cat>
            <c:strRef>
              <c:f>Sheet1!$A$2:$A$6</c:f>
              <c:strCache>
                <c:ptCount val="5"/>
                <c:pt idx="0">
                  <c:v>Less than 6 months</c:v>
                </c:pt>
                <c:pt idx="1">
                  <c:v>6 months to 1 year</c:v>
                </c:pt>
                <c:pt idx="2">
                  <c:v>1 to 2 years</c:v>
                </c:pt>
                <c:pt idx="3">
                  <c:v>2 to 5 years</c:v>
                </c:pt>
                <c:pt idx="4">
                  <c:v>More than 5 years</c:v>
                </c:pt>
              </c:strCache>
            </c:strRef>
          </c:cat>
          <c:val>
            <c:numRef>
              <c:f>Sheet1!$H$2:$H$6</c:f>
              <c:numCache>
                <c:formatCode>0.0%</c:formatCode>
                <c:ptCount val="5"/>
                <c:pt idx="0">
                  <c:v>0.29399999999999998</c:v>
                </c:pt>
                <c:pt idx="1">
                  <c:v>0.17599999999999999</c:v>
                </c:pt>
                <c:pt idx="2">
                  <c:v>0.17599999999999999</c:v>
                </c:pt>
                <c:pt idx="3">
                  <c:v>0.29399999999999998</c:v>
                </c:pt>
                <c:pt idx="4">
                  <c:v>5.8999999999999997E-2</c:v>
                </c:pt>
              </c:numCache>
            </c:numRef>
          </c:val>
        </c:ser>
        <c:ser>
          <c:idx val="7"/>
          <c:order val="7"/>
          <c:tx>
            <c:strRef>
              <c:f>Sheet1!$I$1</c:f>
              <c:strCache>
                <c:ptCount val="1"/>
                <c:pt idx="0">
                  <c:v>Orthodontics</c:v>
                </c:pt>
              </c:strCache>
            </c:strRef>
          </c:tx>
          <c:spPr>
            <a:solidFill>
              <a:srgbClr val="0070C0"/>
            </a:solidFill>
            <a:ln>
              <a:solidFill>
                <a:srgbClr val="0070C0"/>
              </a:solidFill>
            </a:ln>
          </c:spPr>
          <c:invertIfNegative val="0"/>
          <c:dPt>
            <c:idx val="0"/>
            <c:invertIfNegative val="0"/>
            <c:bubble3D val="0"/>
          </c:dPt>
          <c:cat>
            <c:strRef>
              <c:f>Sheet1!$A$2:$A$6</c:f>
              <c:strCache>
                <c:ptCount val="5"/>
                <c:pt idx="0">
                  <c:v>Less than 6 months</c:v>
                </c:pt>
                <c:pt idx="1">
                  <c:v>6 months to 1 year</c:v>
                </c:pt>
                <c:pt idx="2">
                  <c:v>1 to 2 years</c:v>
                </c:pt>
                <c:pt idx="3">
                  <c:v>2 to 5 years</c:v>
                </c:pt>
                <c:pt idx="4">
                  <c:v>More than 5 years</c:v>
                </c:pt>
              </c:strCache>
            </c:strRef>
          </c:cat>
          <c:val>
            <c:numRef>
              <c:f>Sheet1!$I$2:$I$6</c:f>
              <c:numCache>
                <c:formatCode>0.0%</c:formatCode>
                <c:ptCount val="5"/>
                <c:pt idx="0">
                  <c:v>0.16700000000000001</c:v>
                </c:pt>
                <c:pt idx="1">
                  <c:v>0.222</c:v>
                </c:pt>
                <c:pt idx="2">
                  <c:v>0.16700000000000001</c:v>
                </c:pt>
                <c:pt idx="3">
                  <c:v>0.25900000000000001</c:v>
                </c:pt>
                <c:pt idx="4">
                  <c:v>0.185</c:v>
                </c:pt>
              </c:numCache>
            </c:numRef>
          </c:val>
        </c:ser>
        <c:ser>
          <c:idx val="8"/>
          <c:order val="8"/>
          <c:tx>
            <c:strRef>
              <c:f>Sheet1!$J$1</c:f>
              <c:strCache>
                <c:ptCount val="1"/>
                <c:pt idx="0">
                  <c:v>Oral Surgery</c:v>
                </c:pt>
              </c:strCache>
            </c:strRef>
          </c:tx>
          <c:invertIfNegative val="0"/>
          <c:cat>
            <c:strRef>
              <c:f>Sheet1!$A$2:$A$6</c:f>
              <c:strCache>
                <c:ptCount val="5"/>
                <c:pt idx="0">
                  <c:v>Less than 6 months</c:v>
                </c:pt>
                <c:pt idx="1">
                  <c:v>6 months to 1 year</c:v>
                </c:pt>
                <c:pt idx="2">
                  <c:v>1 to 2 years</c:v>
                </c:pt>
                <c:pt idx="3">
                  <c:v>2 to 5 years</c:v>
                </c:pt>
                <c:pt idx="4">
                  <c:v>More than 5 years</c:v>
                </c:pt>
              </c:strCache>
            </c:strRef>
          </c:cat>
          <c:val>
            <c:numRef>
              <c:f>Sheet1!$J$2:$J$6</c:f>
              <c:numCache>
                <c:formatCode>0.0%</c:formatCode>
                <c:ptCount val="5"/>
                <c:pt idx="0">
                  <c:v>0.42399999999999999</c:v>
                </c:pt>
                <c:pt idx="1">
                  <c:v>8.5000000000000006E-2</c:v>
                </c:pt>
                <c:pt idx="2">
                  <c:v>0.10199999999999999</c:v>
                </c:pt>
                <c:pt idx="3">
                  <c:v>0.153</c:v>
                </c:pt>
                <c:pt idx="4">
                  <c:v>0.23699999999999999</c:v>
                </c:pt>
              </c:numCache>
            </c:numRef>
          </c:val>
        </c:ser>
        <c:ser>
          <c:idx val="9"/>
          <c:order val="9"/>
          <c:tx>
            <c:strRef>
              <c:f>Sheet1!$K$1</c:f>
              <c:strCache>
                <c:ptCount val="1"/>
                <c:pt idx="0">
                  <c:v>Pediatrics</c:v>
                </c:pt>
              </c:strCache>
            </c:strRef>
          </c:tx>
          <c:invertIfNegative val="0"/>
          <c:cat>
            <c:strRef>
              <c:f>Sheet1!$A$2:$A$6</c:f>
              <c:strCache>
                <c:ptCount val="5"/>
                <c:pt idx="0">
                  <c:v>Less than 6 months</c:v>
                </c:pt>
                <c:pt idx="1">
                  <c:v>6 months to 1 year</c:v>
                </c:pt>
                <c:pt idx="2">
                  <c:v>1 to 2 years</c:v>
                </c:pt>
                <c:pt idx="3">
                  <c:v>2 to 5 years</c:v>
                </c:pt>
                <c:pt idx="4">
                  <c:v>More than 5 years</c:v>
                </c:pt>
              </c:strCache>
            </c:strRef>
          </c:cat>
          <c:val>
            <c:numRef>
              <c:f>Sheet1!$K$2:$K$6</c:f>
              <c:numCache>
                <c:formatCode>0.0%</c:formatCode>
                <c:ptCount val="5"/>
                <c:pt idx="0">
                  <c:v>5.7000000000000002E-2</c:v>
                </c:pt>
                <c:pt idx="1">
                  <c:v>0.114</c:v>
                </c:pt>
                <c:pt idx="2">
                  <c:v>0.2</c:v>
                </c:pt>
                <c:pt idx="3">
                  <c:v>0.22900000000000001</c:v>
                </c:pt>
                <c:pt idx="4">
                  <c:v>0.4</c:v>
                </c:pt>
              </c:numCache>
            </c:numRef>
          </c:val>
        </c:ser>
        <c:ser>
          <c:idx val="10"/>
          <c:order val="10"/>
          <c:tx>
            <c:strRef>
              <c:f>Sheet1!$L$1</c:f>
              <c:strCache>
                <c:ptCount val="1"/>
                <c:pt idx="0">
                  <c:v>St. Pete</c:v>
                </c:pt>
              </c:strCache>
            </c:strRef>
          </c:tx>
          <c:invertIfNegative val="0"/>
          <c:cat>
            <c:strRef>
              <c:f>Sheet1!$A$2:$A$6</c:f>
              <c:strCache>
                <c:ptCount val="5"/>
                <c:pt idx="0">
                  <c:v>Less than 6 months</c:v>
                </c:pt>
                <c:pt idx="1">
                  <c:v>6 months to 1 year</c:v>
                </c:pt>
                <c:pt idx="2">
                  <c:v>1 to 2 years</c:v>
                </c:pt>
                <c:pt idx="3">
                  <c:v>2 to 5 years</c:v>
                </c:pt>
                <c:pt idx="4">
                  <c:v>More than 5 years</c:v>
                </c:pt>
              </c:strCache>
            </c:strRef>
          </c:cat>
          <c:val>
            <c:numRef>
              <c:f>Sheet1!$L$2:$L$6</c:f>
              <c:numCache>
                <c:formatCode>0.0%</c:formatCode>
                <c:ptCount val="5"/>
                <c:pt idx="0">
                  <c:v>0.40799999999999997</c:v>
                </c:pt>
                <c:pt idx="1">
                  <c:v>0.28599999999999998</c:v>
                </c:pt>
                <c:pt idx="2">
                  <c:v>0.10199999999999999</c:v>
                </c:pt>
                <c:pt idx="3">
                  <c:v>0.122</c:v>
                </c:pt>
                <c:pt idx="4">
                  <c:v>8.2000000000000003E-2</c:v>
                </c:pt>
              </c:numCache>
            </c:numRef>
          </c:val>
        </c:ser>
        <c:dLbls>
          <c:showLegendKey val="0"/>
          <c:showVal val="0"/>
          <c:showCatName val="0"/>
          <c:showSerName val="0"/>
          <c:showPercent val="0"/>
          <c:showBubbleSize val="0"/>
        </c:dLbls>
        <c:gapWidth val="150"/>
        <c:axId val="91738880"/>
        <c:axId val="91740416"/>
      </c:barChart>
      <c:catAx>
        <c:axId val="91738880"/>
        <c:scaling>
          <c:orientation val="minMax"/>
        </c:scaling>
        <c:delete val="0"/>
        <c:axPos val="b"/>
        <c:majorTickMark val="out"/>
        <c:minorTickMark val="none"/>
        <c:tickLblPos val="nextTo"/>
        <c:crossAx val="91740416"/>
        <c:crosses val="autoZero"/>
        <c:auto val="1"/>
        <c:lblAlgn val="ctr"/>
        <c:lblOffset val="100"/>
        <c:noMultiLvlLbl val="0"/>
      </c:catAx>
      <c:valAx>
        <c:axId val="91740416"/>
        <c:scaling>
          <c:orientation val="minMax"/>
        </c:scaling>
        <c:delete val="0"/>
        <c:axPos val="l"/>
        <c:majorGridlines/>
        <c:numFmt formatCode="0.0%" sourceLinked="1"/>
        <c:majorTickMark val="out"/>
        <c:minorTickMark val="none"/>
        <c:tickLblPos val="nextTo"/>
        <c:crossAx val="91738880"/>
        <c:crosses val="autoZero"/>
        <c:crossBetween val="between"/>
      </c:valAx>
    </c:plotArea>
    <c:legend>
      <c:legendPos val="r"/>
      <c:layout>
        <c:manualLayout>
          <c:xMode val="edge"/>
          <c:yMode val="edge"/>
          <c:x val="0.83846692853598281"/>
          <c:y val="0.13818720977185547"/>
          <c:w val="0.16153307146401688"/>
          <c:h val="0.63753861296184133"/>
        </c:manualLayout>
      </c:layout>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Most Important Reason for Coming to UF CoD</a:t>
            </a:r>
          </a:p>
        </c:rich>
      </c:tx>
      <c:layout/>
      <c:overlay val="0"/>
    </c:title>
    <c:autoTitleDeleted val="0"/>
    <c:plotArea>
      <c:layout/>
      <c:barChart>
        <c:barDir val="col"/>
        <c:grouping val="clustered"/>
        <c:varyColors val="0"/>
        <c:ser>
          <c:idx val="0"/>
          <c:order val="0"/>
          <c:tx>
            <c:strRef>
              <c:f>Sheet1!$B$1</c:f>
              <c:strCache>
                <c:ptCount val="1"/>
                <c:pt idx="0">
                  <c:v>Student Clinics</c:v>
                </c:pt>
              </c:strCache>
            </c:strRef>
          </c:tx>
          <c:invertIfNegative val="0"/>
          <c:cat>
            <c:strRef>
              <c:f>Sheet1!$A$2:$A$6</c:f>
              <c:strCache>
                <c:ptCount val="5"/>
                <c:pt idx="0">
                  <c:v>Quality of work</c:v>
                </c:pt>
                <c:pt idx="1">
                  <c:v>Cost</c:v>
                </c:pt>
                <c:pt idx="2">
                  <c:v>Trust UF</c:v>
                </c:pt>
                <c:pt idx="3">
                  <c:v>Convenience</c:v>
                </c:pt>
                <c:pt idx="4">
                  <c:v>Other</c:v>
                </c:pt>
              </c:strCache>
            </c:strRef>
          </c:cat>
          <c:val>
            <c:numRef>
              <c:f>Sheet1!$B$2:$B$6</c:f>
              <c:numCache>
                <c:formatCode>0.0%</c:formatCode>
                <c:ptCount val="5"/>
                <c:pt idx="0">
                  <c:v>0.13400000000000001</c:v>
                </c:pt>
                <c:pt idx="1">
                  <c:v>0.40500000000000003</c:v>
                </c:pt>
                <c:pt idx="2">
                  <c:v>0.218</c:v>
                </c:pt>
                <c:pt idx="3">
                  <c:v>2.1999999999999999E-2</c:v>
                </c:pt>
                <c:pt idx="4">
                  <c:v>0.221</c:v>
                </c:pt>
              </c:numCache>
            </c:numRef>
          </c:val>
        </c:ser>
        <c:ser>
          <c:idx val="1"/>
          <c:order val="1"/>
          <c:tx>
            <c:strRef>
              <c:f>Sheet1!$C$1</c:f>
              <c:strCache>
                <c:ptCount val="1"/>
                <c:pt idx="0">
                  <c:v>Faculty Practice</c:v>
                </c:pt>
              </c:strCache>
            </c:strRef>
          </c:tx>
          <c:spPr>
            <a:solidFill>
              <a:schemeClr val="accent6"/>
            </a:solidFill>
            <a:ln>
              <a:solidFill>
                <a:schemeClr val="accent6"/>
              </a:solidFill>
            </a:ln>
          </c:spPr>
          <c:invertIfNegative val="0"/>
          <c:cat>
            <c:strRef>
              <c:f>Sheet1!$A$2:$A$6</c:f>
              <c:strCache>
                <c:ptCount val="5"/>
                <c:pt idx="0">
                  <c:v>Quality of work</c:v>
                </c:pt>
                <c:pt idx="1">
                  <c:v>Cost</c:v>
                </c:pt>
                <c:pt idx="2">
                  <c:v>Trust UF</c:v>
                </c:pt>
                <c:pt idx="3">
                  <c:v>Convenience</c:v>
                </c:pt>
                <c:pt idx="4">
                  <c:v>Other</c:v>
                </c:pt>
              </c:strCache>
            </c:strRef>
          </c:cat>
          <c:val>
            <c:numRef>
              <c:f>Sheet1!$C$2:$C$6</c:f>
              <c:numCache>
                <c:formatCode>0.0%</c:formatCode>
                <c:ptCount val="5"/>
                <c:pt idx="0">
                  <c:v>0.111</c:v>
                </c:pt>
                <c:pt idx="1">
                  <c:v>0.16700000000000001</c:v>
                </c:pt>
                <c:pt idx="2">
                  <c:v>0.38900000000000001</c:v>
                </c:pt>
                <c:pt idx="3">
                  <c:v>0.16700000000000001</c:v>
                </c:pt>
                <c:pt idx="4">
                  <c:v>0.16700000000000001</c:v>
                </c:pt>
              </c:numCache>
            </c:numRef>
          </c:val>
        </c:ser>
        <c:ser>
          <c:idx val="2"/>
          <c:order val="2"/>
          <c:tx>
            <c:strRef>
              <c:f>Sheet1!$D$1</c:f>
              <c:strCache>
                <c:ptCount val="1"/>
                <c:pt idx="0">
                  <c:v>Graduate Endodontics</c:v>
                </c:pt>
              </c:strCache>
            </c:strRef>
          </c:tx>
          <c:invertIfNegative val="0"/>
          <c:cat>
            <c:strRef>
              <c:f>Sheet1!$A$2:$A$6</c:f>
              <c:strCache>
                <c:ptCount val="5"/>
                <c:pt idx="0">
                  <c:v>Quality of work</c:v>
                </c:pt>
                <c:pt idx="1">
                  <c:v>Cost</c:v>
                </c:pt>
                <c:pt idx="2">
                  <c:v>Trust UF</c:v>
                </c:pt>
                <c:pt idx="3">
                  <c:v>Convenience</c:v>
                </c:pt>
                <c:pt idx="4">
                  <c:v>Other</c:v>
                </c:pt>
              </c:strCache>
            </c:strRef>
          </c:cat>
          <c:val>
            <c:numRef>
              <c:f>Sheet1!$D$2:$D$6</c:f>
              <c:numCache>
                <c:formatCode>0.0%</c:formatCode>
                <c:ptCount val="5"/>
                <c:pt idx="0">
                  <c:v>0</c:v>
                </c:pt>
                <c:pt idx="1">
                  <c:v>0.27300000000000002</c:v>
                </c:pt>
                <c:pt idx="2">
                  <c:v>0.25</c:v>
                </c:pt>
                <c:pt idx="3">
                  <c:v>4.4999999999999998E-2</c:v>
                </c:pt>
                <c:pt idx="4">
                  <c:v>0.432</c:v>
                </c:pt>
              </c:numCache>
            </c:numRef>
          </c:val>
        </c:ser>
        <c:ser>
          <c:idx val="3"/>
          <c:order val="3"/>
          <c:tx>
            <c:strRef>
              <c:f>Sheet1!$E$1</c:f>
              <c:strCache>
                <c:ptCount val="1"/>
                <c:pt idx="0">
                  <c:v>Grad Periodontics</c:v>
                </c:pt>
              </c:strCache>
            </c:strRef>
          </c:tx>
          <c:spPr>
            <a:solidFill>
              <a:schemeClr val="tx2"/>
            </a:solidFill>
            <a:ln>
              <a:solidFill>
                <a:schemeClr val="tx2"/>
              </a:solidFill>
            </a:ln>
          </c:spPr>
          <c:invertIfNegative val="0"/>
          <c:cat>
            <c:strRef>
              <c:f>Sheet1!$A$2:$A$6</c:f>
              <c:strCache>
                <c:ptCount val="5"/>
                <c:pt idx="0">
                  <c:v>Quality of work</c:v>
                </c:pt>
                <c:pt idx="1">
                  <c:v>Cost</c:v>
                </c:pt>
                <c:pt idx="2">
                  <c:v>Trust UF</c:v>
                </c:pt>
                <c:pt idx="3">
                  <c:v>Convenience</c:v>
                </c:pt>
                <c:pt idx="4">
                  <c:v>Other</c:v>
                </c:pt>
              </c:strCache>
            </c:strRef>
          </c:cat>
          <c:val>
            <c:numRef>
              <c:f>Sheet1!$E$2:$E$6</c:f>
              <c:numCache>
                <c:formatCode>0.0%</c:formatCode>
                <c:ptCount val="5"/>
                <c:pt idx="0">
                  <c:v>0.125</c:v>
                </c:pt>
                <c:pt idx="1">
                  <c:v>0.125</c:v>
                </c:pt>
                <c:pt idx="2">
                  <c:v>0.68799999999999994</c:v>
                </c:pt>
                <c:pt idx="3">
                  <c:v>0</c:v>
                </c:pt>
                <c:pt idx="4">
                  <c:v>6.3E-2</c:v>
                </c:pt>
              </c:numCache>
            </c:numRef>
          </c:val>
        </c:ser>
        <c:ser>
          <c:idx val="4"/>
          <c:order val="4"/>
          <c:tx>
            <c:strRef>
              <c:f>Sheet1!$F$1</c:f>
              <c:strCache>
                <c:ptCount val="1"/>
                <c:pt idx="0">
                  <c:v>Grad Prosthodontics</c:v>
                </c:pt>
              </c:strCache>
            </c:strRef>
          </c:tx>
          <c:spPr>
            <a:solidFill>
              <a:schemeClr val="accent1">
                <a:lumMod val="20000"/>
                <a:lumOff val="80000"/>
              </a:schemeClr>
            </a:solidFill>
            <a:ln>
              <a:solidFill>
                <a:schemeClr val="accent1">
                  <a:lumMod val="20000"/>
                  <a:lumOff val="80000"/>
                </a:schemeClr>
              </a:solidFill>
            </a:ln>
          </c:spPr>
          <c:invertIfNegative val="0"/>
          <c:cat>
            <c:strRef>
              <c:f>Sheet1!$A$2:$A$6</c:f>
              <c:strCache>
                <c:ptCount val="5"/>
                <c:pt idx="0">
                  <c:v>Quality of work</c:v>
                </c:pt>
                <c:pt idx="1">
                  <c:v>Cost</c:v>
                </c:pt>
                <c:pt idx="2">
                  <c:v>Trust UF</c:v>
                </c:pt>
                <c:pt idx="3">
                  <c:v>Convenience</c:v>
                </c:pt>
                <c:pt idx="4">
                  <c:v>Other</c:v>
                </c:pt>
              </c:strCache>
            </c:strRef>
          </c:cat>
          <c:val>
            <c:numRef>
              <c:f>Sheet1!$F$2:$F$6</c:f>
              <c:numCache>
                <c:formatCode>0.0%</c:formatCode>
                <c:ptCount val="5"/>
                <c:pt idx="0">
                  <c:v>0.17899999999999999</c:v>
                </c:pt>
                <c:pt idx="1">
                  <c:v>0.32100000000000001</c:v>
                </c:pt>
                <c:pt idx="2">
                  <c:v>0.214</c:v>
                </c:pt>
                <c:pt idx="3">
                  <c:v>7.0999999999999994E-2</c:v>
                </c:pt>
                <c:pt idx="4">
                  <c:v>0.214</c:v>
                </c:pt>
              </c:numCache>
            </c:numRef>
          </c:val>
        </c:ser>
        <c:ser>
          <c:idx val="5"/>
          <c:order val="5"/>
          <c:tx>
            <c:strRef>
              <c:f>Sheet1!$G$1</c:f>
              <c:strCache>
                <c:ptCount val="1"/>
                <c:pt idx="0">
                  <c:v>Hialeah</c:v>
                </c:pt>
              </c:strCache>
            </c:strRef>
          </c:tx>
          <c:spPr>
            <a:solidFill>
              <a:schemeClr val="accent6">
                <a:lumMod val="60000"/>
                <a:lumOff val="40000"/>
              </a:schemeClr>
            </a:solidFill>
            <a:ln>
              <a:solidFill>
                <a:schemeClr val="accent6">
                  <a:lumMod val="60000"/>
                  <a:lumOff val="40000"/>
                </a:schemeClr>
              </a:solidFill>
            </a:ln>
          </c:spPr>
          <c:invertIfNegative val="0"/>
          <c:cat>
            <c:strRef>
              <c:f>Sheet1!$A$2:$A$6</c:f>
              <c:strCache>
                <c:ptCount val="5"/>
                <c:pt idx="0">
                  <c:v>Quality of work</c:v>
                </c:pt>
                <c:pt idx="1">
                  <c:v>Cost</c:v>
                </c:pt>
                <c:pt idx="2">
                  <c:v>Trust UF</c:v>
                </c:pt>
                <c:pt idx="3">
                  <c:v>Convenience</c:v>
                </c:pt>
                <c:pt idx="4">
                  <c:v>Other</c:v>
                </c:pt>
              </c:strCache>
            </c:strRef>
          </c:cat>
          <c:val>
            <c:numRef>
              <c:f>Sheet1!$G$2:$G$6</c:f>
              <c:numCache>
                <c:formatCode>0.0%</c:formatCode>
                <c:ptCount val="5"/>
                <c:pt idx="0">
                  <c:v>0.255</c:v>
                </c:pt>
                <c:pt idx="1">
                  <c:v>0.2</c:v>
                </c:pt>
                <c:pt idx="2">
                  <c:v>0.255</c:v>
                </c:pt>
                <c:pt idx="3">
                  <c:v>5.5E-2</c:v>
                </c:pt>
                <c:pt idx="4">
                  <c:v>0.23599999999999999</c:v>
                </c:pt>
              </c:numCache>
            </c:numRef>
          </c:val>
        </c:ser>
        <c:ser>
          <c:idx val="6"/>
          <c:order val="6"/>
          <c:tx>
            <c:strRef>
              <c:f>Sheet1!$H$1</c:f>
              <c:strCache>
                <c:ptCount val="1"/>
                <c:pt idx="0">
                  <c:v>Oral Medicine</c:v>
                </c:pt>
              </c:strCache>
            </c:strRef>
          </c:tx>
          <c:spPr>
            <a:solidFill>
              <a:schemeClr val="accent3">
                <a:lumMod val="50000"/>
              </a:schemeClr>
            </a:solidFill>
            <a:ln>
              <a:solidFill>
                <a:schemeClr val="accent3">
                  <a:lumMod val="50000"/>
                </a:schemeClr>
              </a:solidFill>
            </a:ln>
          </c:spPr>
          <c:invertIfNegative val="0"/>
          <c:cat>
            <c:strRef>
              <c:f>Sheet1!$A$2:$A$6</c:f>
              <c:strCache>
                <c:ptCount val="5"/>
                <c:pt idx="0">
                  <c:v>Quality of work</c:v>
                </c:pt>
                <c:pt idx="1">
                  <c:v>Cost</c:v>
                </c:pt>
                <c:pt idx="2">
                  <c:v>Trust UF</c:v>
                </c:pt>
                <c:pt idx="3">
                  <c:v>Convenience</c:v>
                </c:pt>
                <c:pt idx="4">
                  <c:v>Other</c:v>
                </c:pt>
              </c:strCache>
            </c:strRef>
          </c:cat>
          <c:val>
            <c:numRef>
              <c:f>Sheet1!$H$2:$H$6</c:f>
              <c:numCache>
                <c:formatCode>0.0%</c:formatCode>
                <c:ptCount val="5"/>
                <c:pt idx="0">
                  <c:v>6.3E-2</c:v>
                </c:pt>
                <c:pt idx="1">
                  <c:v>0</c:v>
                </c:pt>
                <c:pt idx="2">
                  <c:v>6.3E-2</c:v>
                </c:pt>
                <c:pt idx="3">
                  <c:v>0</c:v>
                </c:pt>
                <c:pt idx="4">
                  <c:v>0.875</c:v>
                </c:pt>
              </c:numCache>
            </c:numRef>
          </c:val>
        </c:ser>
        <c:ser>
          <c:idx val="7"/>
          <c:order val="7"/>
          <c:tx>
            <c:strRef>
              <c:f>Sheet1!$I$1</c:f>
              <c:strCache>
                <c:ptCount val="1"/>
                <c:pt idx="0">
                  <c:v>Orthodontics</c:v>
                </c:pt>
              </c:strCache>
            </c:strRef>
          </c:tx>
          <c:spPr>
            <a:solidFill>
              <a:srgbClr val="0070C0"/>
            </a:solidFill>
            <a:ln>
              <a:solidFill>
                <a:srgbClr val="0070C0"/>
              </a:solidFill>
            </a:ln>
          </c:spPr>
          <c:invertIfNegative val="0"/>
          <c:cat>
            <c:strRef>
              <c:f>Sheet1!$A$2:$A$6</c:f>
              <c:strCache>
                <c:ptCount val="5"/>
                <c:pt idx="0">
                  <c:v>Quality of work</c:v>
                </c:pt>
                <c:pt idx="1">
                  <c:v>Cost</c:v>
                </c:pt>
                <c:pt idx="2">
                  <c:v>Trust UF</c:v>
                </c:pt>
                <c:pt idx="3">
                  <c:v>Convenience</c:v>
                </c:pt>
                <c:pt idx="4">
                  <c:v>Other</c:v>
                </c:pt>
              </c:strCache>
            </c:strRef>
          </c:cat>
          <c:val>
            <c:numRef>
              <c:f>Sheet1!$I$2:$I$6</c:f>
              <c:numCache>
                <c:formatCode>0.0%</c:formatCode>
                <c:ptCount val="5"/>
                <c:pt idx="0">
                  <c:v>0.11600000000000001</c:v>
                </c:pt>
                <c:pt idx="1">
                  <c:v>0.16300000000000001</c:v>
                </c:pt>
                <c:pt idx="2">
                  <c:v>0.186</c:v>
                </c:pt>
                <c:pt idx="3">
                  <c:v>0</c:v>
                </c:pt>
                <c:pt idx="4">
                  <c:v>0.53500000000000003</c:v>
                </c:pt>
              </c:numCache>
            </c:numRef>
          </c:val>
        </c:ser>
        <c:ser>
          <c:idx val="8"/>
          <c:order val="8"/>
          <c:tx>
            <c:strRef>
              <c:f>Sheet1!$J$1</c:f>
              <c:strCache>
                <c:ptCount val="1"/>
                <c:pt idx="0">
                  <c:v>Oral Surgery</c:v>
                </c:pt>
              </c:strCache>
            </c:strRef>
          </c:tx>
          <c:invertIfNegative val="0"/>
          <c:cat>
            <c:strRef>
              <c:f>Sheet1!$A$2:$A$6</c:f>
              <c:strCache>
                <c:ptCount val="5"/>
                <c:pt idx="0">
                  <c:v>Quality of work</c:v>
                </c:pt>
                <c:pt idx="1">
                  <c:v>Cost</c:v>
                </c:pt>
                <c:pt idx="2">
                  <c:v>Trust UF</c:v>
                </c:pt>
                <c:pt idx="3">
                  <c:v>Convenience</c:v>
                </c:pt>
                <c:pt idx="4">
                  <c:v>Other</c:v>
                </c:pt>
              </c:strCache>
            </c:strRef>
          </c:cat>
          <c:val>
            <c:numRef>
              <c:f>Sheet1!$J$2:$J$6</c:f>
              <c:numCache>
                <c:formatCode>0.0%</c:formatCode>
                <c:ptCount val="5"/>
                <c:pt idx="0">
                  <c:v>0.13</c:v>
                </c:pt>
                <c:pt idx="1">
                  <c:v>0.20399999999999999</c:v>
                </c:pt>
                <c:pt idx="2">
                  <c:v>0.24099999999999999</c:v>
                </c:pt>
                <c:pt idx="3">
                  <c:v>3.6999999999999998E-2</c:v>
                </c:pt>
                <c:pt idx="4">
                  <c:v>0.38900000000000001</c:v>
                </c:pt>
              </c:numCache>
            </c:numRef>
          </c:val>
        </c:ser>
        <c:ser>
          <c:idx val="9"/>
          <c:order val="9"/>
          <c:tx>
            <c:strRef>
              <c:f>Sheet1!$K$1</c:f>
              <c:strCache>
                <c:ptCount val="1"/>
                <c:pt idx="0">
                  <c:v>Pediatrics</c:v>
                </c:pt>
              </c:strCache>
            </c:strRef>
          </c:tx>
          <c:invertIfNegative val="0"/>
          <c:cat>
            <c:strRef>
              <c:f>Sheet1!$A$2:$A$6</c:f>
              <c:strCache>
                <c:ptCount val="5"/>
                <c:pt idx="0">
                  <c:v>Quality of work</c:v>
                </c:pt>
                <c:pt idx="1">
                  <c:v>Cost</c:v>
                </c:pt>
                <c:pt idx="2">
                  <c:v>Trust UF</c:v>
                </c:pt>
                <c:pt idx="3">
                  <c:v>Convenience</c:v>
                </c:pt>
                <c:pt idx="4">
                  <c:v>Other</c:v>
                </c:pt>
              </c:strCache>
            </c:strRef>
          </c:cat>
          <c:val>
            <c:numRef>
              <c:f>Sheet1!$K$2:$K$6</c:f>
              <c:numCache>
                <c:formatCode>0.0%</c:formatCode>
                <c:ptCount val="5"/>
                <c:pt idx="0">
                  <c:v>7.3999999999999996E-2</c:v>
                </c:pt>
                <c:pt idx="1">
                  <c:v>0.111</c:v>
                </c:pt>
                <c:pt idx="2">
                  <c:v>0.44400000000000001</c:v>
                </c:pt>
                <c:pt idx="3">
                  <c:v>0</c:v>
                </c:pt>
                <c:pt idx="4">
                  <c:v>0.37</c:v>
                </c:pt>
              </c:numCache>
            </c:numRef>
          </c:val>
        </c:ser>
        <c:ser>
          <c:idx val="10"/>
          <c:order val="10"/>
          <c:tx>
            <c:strRef>
              <c:f>Sheet1!$L$1</c:f>
              <c:strCache>
                <c:ptCount val="1"/>
                <c:pt idx="0">
                  <c:v>St. Pete</c:v>
                </c:pt>
              </c:strCache>
            </c:strRef>
          </c:tx>
          <c:invertIfNegative val="0"/>
          <c:cat>
            <c:strRef>
              <c:f>Sheet1!$A$2:$A$6</c:f>
              <c:strCache>
                <c:ptCount val="5"/>
                <c:pt idx="0">
                  <c:v>Quality of work</c:v>
                </c:pt>
                <c:pt idx="1">
                  <c:v>Cost</c:v>
                </c:pt>
                <c:pt idx="2">
                  <c:v>Trust UF</c:v>
                </c:pt>
                <c:pt idx="3">
                  <c:v>Convenience</c:v>
                </c:pt>
                <c:pt idx="4">
                  <c:v>Other</c:v>
                </c:pt>
              </c:strCache>
            </c:strRef>
          </c:cat>
          <c:val>
            <c:numRef>
              <c:f>Sheet1!$L$2:$L$6</c:f>
              <c:numCache>
                <c:formatCode>0.0%</c:formatCode>
                <c:ptCount val="5"/>
                <c:pt idx="0">
                  <c:v>0.105</c:v>
                </c:pt>
                <c:pt idx="1">
                  <c:v>0.39500000000000002</c:v>
                </c:pt>
                <c:pt idx="2">
                  <c:v>0.21099999999999999</c:v>
                </c:pt>
                <c:pt idx="3">
                  <c:v>5.2999999999999999E-2</c:v>
                </c:pt>
                <c:pt idx="4">
                  <c:v>0.23699999999999999</c:v>
                </c:pt>
              </c:numCache>
            </c:numRef>
          </c:val>
        </c:ser>
        <c:dLbls>
          <c:showLegendKey val="0"/>
          <c:showVal val="0"/>
          <c:showCatName val="0"/>
          <c:showSerName val="0"/>
          <c:showPercent val="0"/>
          <c:showBubbleSize val="0"/>
        </c:dLbls>
        <c:gapWidth val="150"/>
        <c:axId val="92002560"/>
        <c:axId val="92008448"/>
      </c:barChart>
      <c:catAx>
        <c:axId val="92002560"/>
        <c:scaling>
          <c:orientation val="minMax"/>
        </c:scaling>
        <c:delete val="0"/>
        <c:axPos val="b"/>
        <c:majorTickMark val="out"/>
        <c:minorTickMark val="none"/>
        <c:tickLblPos val="nextTo"/>
        <c:crossAx val="92008448"/>
        <c:crosses val="autoZero"/>
        <c:auto val="1"/>
        <c:lblAlgn val="ctr"/>
        <c:lblOffset val="100"/>
        <c:noMultiLvlLbl val="0"/>
      </c:catAx>
      <c:valAx>
        <c:axId val="92008448"/>
        <c:scaling>
          <c:orientation val="minMax"/>
        </c:scaling>
        <c:delete val="0"/>
        <c:axPos val="l"/>
        <c:majorGridlines/>
        <c:numFmt formatCode="0.0%" sourceLinked="1"/>
        <c:majorTickMark val="out"/>
        <c:minorTickMark val="none"/>
        <c:tickLblPos val="nextTo"/>
        <c:crossAx val="92002560"/>
        <c:crosses val="autoZero"/>
        <c:crossBetween val="between"/>
      </c:valAx>
    </c:plotArea>
    <c:legend>
      <c:legendPos val="r"/>
      <c:layout>
        <c:manualLayout>
          <c:xMode val="edge"/>
          <c:yMode val="edge"/>
          <c:x val="0.84118025000514363"/>
          <c:y val="0.1284637039417692"/>
          <c:w val="0.15881974999485646"/>
          <c:h val="0.60139696823611333"/>
        </c:manualLayout>
      </c:layout>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Length of Time to First Appointment</a:t>
            </a:r>
          </a:p>
        </c:rich>
      </c:tx>
      <c:layout/>
      <c:overlay val="0"/>
    </c:title>
    <c:autoTitleDeleted val="0"/>
    <c:plotArea>
      <c:layout/>
      <c:barChart>
        <c:barDir val="col"/>
        <c:grouping val="clustered"/>
        <c:varyColors val="0"/>
        <c:ser>
          <c:idx val="0"/>
          <c:order val="0"/>
          <c:tx>
            <c:strRef>
              <c:f>Sheet1!$B$1</c:f>
              <c:strCache>
                <c:ptCount val="1"/>
                <c:pt idx="0">
                  <c:v>Student Clinics</c:v>
                </c:pt>
              </c:strCache>
            </c:strRef>
          </c:tx>
          <c:invertIfNegative val="0"/>
          <c:cat>
            <c:strRef>
              <c:f>Sheet1!$A$2:$A$5</c:f>
              <c:strCache>
                <c:ptCount val="4"/>
                <c:pt idx="0">
                  <c:v>Less than 2 weeks</c:v>
                </c:pt>
                <c:pt idx="1">
                  <c:v>2 to 4 weeks</c:v>
                </c:pt>
                <c:pt idx="2">
                  <c:v>4 to 8 weeks</c:v>
                </c:pt>
                <c:pt idx="3">
                  <c:v>More than 8 weeks</c:v>
                </c:pt>
              </c:strCache>
            </c:strRef>
          </c:cat>
          <c:val>
            <c:numRef>
              <c:f>Sheet1!$B$2:$B$5</c:f>
              <c:numCache>
                <c:formatCode>0.0%</c:formatCode>
                <c:ptCount val="4"/>
                <c:pt idx="0">
                  <c:v>0.28199999999999997</c:v>
                </c:pt>
                <c:pt idx="1">
                  <c:v>0.44800000000000001</c:v>
                </c:pt>
                <c:pt idx="2">
                  <c:v>0.20899999999999999</c:v>
                </c:pt>
                <c:pt idx="3">
                  <c:v>6.0999999999999999E-2</c:v>
                </c:pt>
              </c:numCache>
            </c:numRef>
          </c:val>
        </c:ser>
        <c:ser>
          <c:idx val="1"/>
          <c:order val="1"/>
          <c:tx>
            <c:strRef>
              <c:f>Sheet1!$C$1</c:f>
              <c:strCache>
                <c:ptCount val="1"/>
                <c:pt idx="0">
                  <c:v>Faculty Practice</c:v>
                </c:pt>
              </c:strCache>
            </c:strRef>
          </c:tx>
          <c:spPr>
            <a:solidFill>
              <a:schemeClr val="accent6"/>
            </a:solidFill>
            <a:ln>
              <a:solidFill>
                <a:schemeClr val="accent6"/>
              </a:solidFill>
            </a:ln>
          </c:spPr>
          <c:invertIfNegative val="0"/>
          <c:cat>
            <c:strRef>
              <c:f>Sheet1!$A$2:$A$5</c:f>
              <c:strCache>
                <c:ptCount val="4"/>
                <c:pt idx="0">
                  <c:v>Less than 2 weeks</c:v>
                </c:pt>
                <c:pt idx="1">
                  <c:v>2 to 4 weeks</c:v>
                </c:pt>
                <c:pt idx="2">
                  <c:v>4 to 8 weeks</c:v>
                </c:pt>
                <c:pt idx="3">
                  <c:v>More than 8 weeks</c:v>
                </c:pt>
              </c:strCache>
            </c:strRef>
          </c:cat>
          <c:val>
            <c:numRef>
              <c:f>Sheet1!$C$2:$C$5</c:f>
              <c:numCache>
                <c:formatCode>0.0%</c:formatCode>
                <c:ptCount val="4"/>
                <c:pt idx="0">
                  <c:v>0.47599999999999998</c:v>
                </c:pt>
                <c:pt idx="1">
                  <c:v>0.23799999999999999</c:v>
                </c:pt>
                <c:pt idx="2">
                  <c:v>0.19</c:v>
                </c:pt>
                <c:pt idx="3">
                  <c:v>9.5000000000000001E-2</c:v>
                </c:pt>
              </c:numCache>
            </c:numRef>
          </c:val>
        </c:ser>
        <c:ser>
          <c:idx val="2"/>
          <c:order val="2"/>
          <c:tx>
            <c:strRef>
              <c:f>Sheet1!$D$1</c:f>
              <c:strCache>
                <c:ptCount val="1"/>
                <c:pt idx="0">
                  <c:v>Graduate Endodontics</c:v>
                </c:pt>
              </c:strCache>
            </c:strRef>
          </c:tx>
          <c:invertIfNegative val="0"/>
          <c:cat>
            <c:strRef>
              <c:f>Sheet1!$A$2:$A$5</c:f>
              <c:strCache>
                <c:ptCount val="4"/>
                <c:pt idx="0">
                  <c:v>Less than 2 weeks</c:v>
                </c:pt>
                <c:pt idx="1">
                  <c:v>2 to 4 weeks</c:v>
                </c:pt>
                <c:pt idx="2">
                  <c:v>4 to 8 weeks</c:v>
                </c:pt>
                <c:pt idx="3">
                  <c:v>More than 8 weeks</c:v>
                </c:pt>
              </c:strCache>
            </c:strRef>
          </c:cat>
          <c:val>
            <c:numRef>
              <c:f>Sheet1!$D$2:$D$5</c:f>
              <c:numCache>
                <c:formatCode>0.0%</c:formatCode>
                <c:ptCount val="4"/>
                <c:pt idx="0">
                  <c:v>0.61099999999999999</c:v>
                </c:pt>
                <c:pt idx="1">
                  <c:v>0.24099999999999999</c:v>
                </c:pt>
                <c:pt idx="2">
                  <c:v>0.13</c:v>
                </c:pt>
                <c:pt idx="3">
                  <c:v>1.9E-2</c:v>
                </c:pt>
              </c:numCache>
            </c:numRef>
          </c:val>
        </c:ser>
        <c:ser>
          <c:idx val="3"/>
          <c:order val="3"/>
          <c:tx>
            <c:strRef>
              <c:f>Sheet1!$E$1</c:f>
              <c:strCache>
                <c:ptCount val="1"/>
                <c:pt idx="0">
                  <c:v>Grad Periodontics</c:v>
                </c:pt>
              </c:strCache>
            </c:strRef>
          </c:tx>
          <c:spPr>
            <a:solidFill>
              <a:schemeClr val="tx2"/>
            </a:solidFill>
            <a:ln>
              <a:solidFill>
                <a:schemeClr val="tx2"/>
              </a:solidFill>
            </a:ln>
          </c:spPr>
          <c:invertIfNegative val="0"/>
          <c:cat>
            <c:strRef>
              <c:f>Sheet1!$A$2:$A$5</c:f>
              <c:strCache>
                <c:ptCount val="4"/>
                <c:pt idx="0">
                  <c:v>Less than 2 weeks</c:v>
                </c:pt>
                <c:pt idx="1">
                  <c:v>2 to 4 weeks</c:v>
                </c:pt>
                <c:pt idx="2">
                  <c:v>4 to 8 weeks</c:v>
                </c:pt>
                <c:pt idx="3">
                  <c:v>More than 8 weeks</c:v>
                </c:pt>
              </c:strCache>
            </c:strRef>
          </c:cat>
          <c:val>
            <c:numRef>
              <c:f>Sheet1!$E$2:$E$5</c:f>
              <c:numCache>
                <c:formatCode>0.0%</c:formatCode>
                <c:ptCount val="4"/>
                <c:pt idx="0">
                  <c:v>0.40699999999999997</c:v>
                </c:pt>
                <c:pt idx="1">
                  <c:v>0.44400000000000001</c:v>
                </c:pt>
                <c:pt idx="2">
                  <c:v>3.6999999999999998E-2</c:v>
                </c:pt>
                <c:pt idx="3">
                  <c:v>0.111</c:v>
                </c:pt>
              </c:numCache>
            </c:numRef>
          </c:val>
        </c:ser>
        <c:ser>
          <c:idx val="4"/>
          <c:order val="4"/>
          <c:tx>
            <c:strRef>
              <c:f>Sheet1!$F$1</c:f>
              <c:strCache>
                <c:ptCount val="1"/>
                <c:pt idx="0">
                  <c:v>Grad Prosthodontics</c:v>
                </c:pt>
              </c:strCache>
            </c:strRef>
          </c:tx>
          <c:spPr>
            <a:solidFill>
              <a:schemeClr val="accent1">
                <a:lumMod val="20000"/>
                <a:lumOff val="80000"/>
              </a:schemeClr>
            </a:solidFill>
            <a:ln>
              <a:solidFill>
                <a:schemeClr val="accent1">
                  <a:lumMod val="20000"/>
                  <a:lumOff val="80000"/>
                </a:schemeClr>
              </a:solidFill>
            </a:ln>
          </c:spPr>
          <c:invertIfNegative val="0"/>
          <c:cat>
            <c:strRef>
              <c:f>Sheet1!$A$2:$A$5</c:f>
              <c:strCache>
                <c:ptCount val="4"/>
                <c:pt idx="0">
                  <c:v>Less than 2 weeks</c:v>
                </c:pt>
                <c:pt idx="1">
                  <c:v>2 to 4 weeks</c:v>
                </c:pt>
                <c:pt idx="2">
                  <c:v>4 to 8 weeks</c:v>
                </c:pt>
                <c:pt idx="3">
                  <c:v>More than 8 weeks</c:v>
                </c:pt>
              </c:strCache>
            </c:strRef>
          </c:cat>
          <c:val>
            <c:numRef>
              <c:f>Sheet1!$F$2:$F$5</c:f>
              <c:numCache>
                <c:formatCode>0.0%</c:formatCode>
                <c:ptCount val="4"/>
                <c:pt idx="0">
                  <c:v>0.34200000000000003</c:v>
                </c:pt>
                <c:pt idx="1">
                  <c:v>0.42099999999999999</c:v>
                </c:pt>
                <c:pt idx="2">
                  <c:v>0.184</c:v>
                </c:pt>
                <c:pt idx="3">
                  <c:v>5.2999999999999999E-2</c:v>
                </c:pt>
              </c:numCache>
            </c:numRef>
          </c:val>
        </c:ser>
        <c:ser>
          <c:idx val="5"/>
          <c:order val="5"/>
          <c:tx>
            <c:strRef>
              <c:f>Sheet1!$G$1</c:f>
              <c:strCache>
                <c:ptCount val="1"/>
                <c:pt idx="0">
                  <c:v>Hialeah</c:v>
                </c:pt>
              </c:strCache>
            </c:strRef>
          </c:tx>
          <c:spPr>
            <a:solidFill>
              <a:schemeClr val="accent6">
                <a:lumMod val="60000"/>
                <a:lumOff val="40000"/>
              </a:schemeClr>
            </a:solidFill>
            <a:ln>
              <a:solidFill>
                <a:schemeClr val="accent6">
                  <a:lumMod val="60000"/>
                  <a:lumOff val="40000"/>
                </a:schemeClr>
              </a:solidFill>
            </a:ln>
          </c:spPr>
          <c:invertIfNegative val="0"/>
          <c:cat>
            <c:strRef>
              <c:f>Sheet1!$A$2:$A$5</c:f>
              <c:strCache>
                <c:ptCount val="4"/>
                <c:pt idx="0">
                  <c:v>Less than 2 weeks</c:v>
                </c:pt>
                <c:pt idx="1">
                  <c:v>2 to 4 weeks</c:v>
                </c:pt>
                <c:pt idx="2">
                  <c:v>4 to 8 weeks</c:v>
                </c:pt>
                <c:pt idx="3">
                  <c:v>More than 8 weeks</c:v>
                </c:pt>
              </c:strCache>
            </c:strRef>
          </c:cat>
          <c:val>
            <c:numRef>
              <c:f>Sheet1!$G$2:$G$5</c:f>
              <c:numCache>
                <c:formatCode>0.0%</c:formatCode>
                <c:ptCount val="4"/>
                <c:pt idx="0">
                  <c:v>0.94599999999999995</c:v>
                </c:pt>
                <c:pt idx="1">
                  <c:v>4.1000000000000002E-2</c:v>
                </c:pt>
                <c:pt idx="2">
                  <c:v>1.4E-2</c:v>
                </c:pt>
                <c:pt idx="3">
                  <c:v>0</c:v>
                </c:pt>
              </c:numCache>
            </c:numRef>
          </c:val>
        </c:ser>
        <c:ser>
          <c:idx val="6"/>
          <c:order val="6"/>
          <c:tx>
            <c:strRef>
              <c:f>Sheet1!$H$1</c:f>
              <c:strCache>
                <c:ptCount val="1"/>
                <c:pt idx="0">
                  <c:v>Oral Medicine</c:v>
                </c:pt>
              </c:strCache>
            </c:strRef>
          </c:tx>
          <c:spPr>
            <a:solidFill>
              <a:schemeClr val="accent3">
                <a:lumMod val="50000"/>
              </a:schemeClr>
            </a:solidFill>
            <a:ln>
              <a:solidFill>
                <a:schemeClr val="accent3">
                  <a:lumMod val="50000"/>
                </a:schemeClr>
              </a:solidFill>
            </a:ln>
          </c:spPr>
          <c:invertIfNegative val="0"/>
          <c:cat>
            <c:strRef>
              <c:f>Sheet1!$A$2:$A$5</c:f>
              <c:strCache>
                <c:ptCount val="4"/>
                <c:pt idx="0">
                  <c:v>Less than 2 weeks</c:v>
                </c:pt>
                <c:pt idx="1">
                  <c:v>2 to 4 weeks</c:v>
                </c:pt>
                <c:pt idx="2">
                  <c:v>4 to 8 weeks</c:v>
                </c:pt>
                <c:pt idx="3">
                  <c:v>More than 8 weeks</c:v>
                </c:pt>
              </c:strCache>
            </c:strRef>
          </c:cat>
          <c:val>
            <c:numRef>
              <c:f>Sheet1!$H$2:$H$5</c:f>
              <c:numCache>
                <c:formatCode>0.0%</c:formatCode>
                <c:ptCount val="4"/>
                <c:pt idx="0">
                  <c:v>0.61099999999999999</c:v>
                </c:pt>
                <c:pt idx="1">
                  <c:v>0</c:v>
                </c:pt>
                <c:pt idx="2">
                  <c:v>0.27800000000000002</c:v>
                </c:pt>
                <c:pt idx="3">
                  <c:v>0.111</c:v>
                </c:pt>
              </c:numCache>
            </c:numRef>
          </c:val>
        </c:ser>
        <c:ser>
          <c:idx val="7"/>
          <c:order val="7"/>
          <c:tx>
            <c:strRef>
              <c:f>Sheet1!$I$1</c:f>
              <c:strCache>
                <c:ptCount val="1"/>
                <c:pt idx="0">
                  <c:v>Orthodontics</c:v>
                </c:pt>
              </c:strCache>
            </c:strRef>
          </c:tx>
          <c:spPr>
            <a:solidFill>
              <a:srgbClr val="0070C0"/>
            </a:solidFill>
            <a:ln>
              <a:solidFill>
                <a:srgbClr val="0070C0"/>
              </a:solidFill>
            </a:ln>
          </c:spPr>
          <c:invertIfNegative val="0"/>
          <c:cat>
            <c:strRef>
              <c:f>Sheet1!$A$2:$A$5</c:f>
              <c:strCache>
                <c:ptCount val="4"/>
                <c:pt idx="0">
                  <c:v>Less than 2 weeks</c:v>
                </c:pt>
                <c:pt idx="1">
                  <c:v>2 to 4 weeks</c:v>
                </c:pt>
                <c:pt idx="2">
                  <c:v>4 to 8 weeks</c:v>
                </c:pt>
                <c:pt idx="3">
                  <c:v>More than 8 weeks</c:v>
                </c:pt>
              </c:strCache>
            </c:strRef>
          </c:cat>
          <c:val>
            <c:numRef>
              <c:f>Sheet1!$I$2:$I$5</c:f>
              <c:numCache>
                <c:formatCode>0.0%</c:formatCode>
                <c:ptCount val="4"/>
                <c:pt idx="0">
                  <c:v>0.39600000000000002</c:v>
                </c:pt>
                <c:pt idx="1">
                  <c:v>0.32100000000000001</c:v>
                </c:pt>
                <c:pt idx="2">
                  <c:v>9.4E-2</c:v>
                </c:pt>
                <c:pt idx="3">
                  <c:v>0.189</c:v>
                </c:pt>
              </c:numCache>
            </c:numRef>
          </c:val>
        </c:ser>
        <c:ser>
          <c:idx val="8"/>
          <c:order val="8"/>
          <c:tx>
            <c:strRef>
              <c:f>Sheet1!$J$1</c:f>
              <c:strCache>
                <c:ptCount val="1"/>
                <c:pt idx="0">
                  <c:v>Oral Surgery</c:v>
                </c:pt>
              </c:strCache>
            </c:strRef>
          </c:tx>
          <c:invertIfNegative val="0"/>
          <c:cat>
            <c:strRef>
              <c:f>Sheet1!$A$2:$A$5</c:f>
              <c:strCache>
                <c:ptCount val="4"/>
                <c:pt idx="0">
                  <c:v>Less than 2 weeks</c:v>
                </c:pt>
                <c:pt idx="1">
                  <c:v>2 to 4 weeks</c:v>
                </c:pt>
                <c:pt idx="2">
                  <c:v>4 to 8 weeks</c:v>
                </c:pt>
                <c:pt idx="3">
                  <c:v>More than 8 weeks</c:v>
                </c:pt>
              </c:strCache>
            </c:strRef>
          </c:cat>
          <c:val>
            <c:numRef>
              <c:f>Sheet1!$J$2:$J$5</c:f>
              <c:numCache>
                <c:formatCode>0.0%</c:formatCode>
                <c:ptCount val="4"/>
                <c:pt idx="0">
                  <c:v>0.54200000000000004</c:v>
                </c:pt>
                <c:pt idx="1">
                  <c:v>0.254</c:v>
                </c:pt>
                <c:pt idx="2">
                  <c:v>0.153</c:v>
                </c:pt>
                <c:pt idx="3">
                  <c:v>5.0999999999999997E-2</c:v>
                </c:pt>
              </c:numCache>
            </c:numRef>
          </c:val>
        </c:ser>
        <c:ser>
          <c:idx val="9"/>
          <c:order val="9"/>
          <c:tx>
            <c:strRef>
              <c:f>Sheet1!$K$1</c:f>
              <c:strCache>
                <c:ptCount val="1"/>
                <c:pt idx="0">
                  <c:v>Pediatrics</c:v>
                </c:pt>
              </c:strCache>
            </c:strRef>
          </c:tx>
          <c:invertIfNegative val="0"/>
          <c:cat>
            <c:strRef>
              <c:f>Sheet1!$A$2:$A$5</c:f>
              <c:strCache>
                <c:ptCount val="4"/>
                <c:pt idx="0">
                  <c:v>Less than 2 weeks</c:v>
                </c:pt>
                <c:pt idx="1">
                  <c:v>2 to 4 weeks</c:v>
                </c:pt>
                <c:pt idx="2">
                  <c:v>4 to 8 weeks</c:v>
                </c:pt>
                <c:pt idx="3">
                  <c:v>More than 8 weeks</c:v>
                </c:pt>
              </c:strCache>
            </c:strRef>
          </c:cat>
          <c:val>
            <c:numRef>
              <c:f>Sheet1!$K$2:$K$5</c:f>
              <c:numCache>
                <c:formatCode>0.0%</c:formatCode>
                <c:ptCount val="4"/>
                <c:pt idx="0">
                  <c:v>0.25700000000000001</c:v>
                </c:pt>
                <c:pt idx="1">
                  <c:v>0.42899999999999999</c:v>
                </c:pt>
                <c:pt idx="2">
                  <c:v>0.314</c:v>
                </c:pt>
                <c:pt idx="3">
                  <c:v>0</c:v>
                </c:pt>
              </c:numCache>
            </c:numRef>
          </c:val>
        </c:ser>
        <c:ser>
          <c:idx val="10"/>
          <c:order val="10"/>
          <c:tx>
            <c:strRef>
              <c:f>Sheet1!$L$1</c:f>
              <c:strCache>
                <c:ptCount val="1"/>
                <c:pt idx="0">
                  <c:v>St. Pete</c:v>
                </c:pt>
              </c:strCache>
            </c:strRef>
          </c:tx>
          <c:invertIfNegative val="0"/>
          <c:cat>
            <c:strRef>
              <c:f>Sheet1!$A$2:$A$5</c:f>
              <c:strCache>
                <c:ptCount val="4"/>
                <c:pt idx="0">
                  <c:v>Less than 2 weeks</c:v>
                </c:pt>
                <c:pt idx="1">
                  <c:v>2 to 4 weeks</c:v>
                </c:pt>
                <c:pt idx="2">
                  <c:v>4 to 8 weeks</c:v>
                </c:pt>
                <c:pt idx="3">
                  <c:v>More than 8 weeks</c:v>
                </c:pt>
              </c:strCache>
            </c:strRef>
          </c:cat>
          <c:val>
            <c:numRef>
              <c:f>Sheet1!$L$2:$L$5</c:f>
              <c:numCache>
                <c:formatCode>0.0%</c:formatCode>
                <c:ptCount val="4"/>
                <c:pt idx="0">
                  <c:v>0.80900000000000005</c:v>
                </c:pt>
                <c:pt idx="1">
                  <c:v>0.14899999999999999</c:v>
                </c:pt>
                <c:pt idx="2">
                  <c:v>2.1000000000000001E-2</c:v>
                </c:pt>
                <c:pt idx="3">
                  <c:v>2.1000000000000001E-2</c:v>
                </c:pt>
              </c:numCache>
            </c:numRef>
          </c:val>
        </c:ser>
        <c:dLbls>
          <c:showLegendKey val="0"/>
          <c:showVal val="0"/>
          <c:showCatName val="0"/>
          <c:showSerName val="0"/>
          <c:showPercent val="0"/>
          <c:showBubbleSize val="0"/>
        </c:dLbls>
        <c:gapWidth val="150"/>
        <c:axId val="98119680"/>
        <c:axId val="98121216"/>
      </c:barChart>
      <c:catAx>
        <c:axId val="98119680"/>
        <c:scaling>
          <c:orientation val="minMax"/>
        </c:scaling>
        <c:delete val="0"/>
        <c:axPos val="b"/>
        <c:majorTickMark val="out"/>
        <c:minorTickMark val="none"/>
        <c:tickLblPos val="nextTo"/>
        <c:crossAx val="98121216"/>
        <c:crosses val="autoZero"/>
        <c:auto val="1"/>
        <c:lblAlgn val="ctr"/>
        <c:lblOffset val="100"/>
        <c:noMultiLvlLbl val="0"/>
      </c:catAx>
      <c:valAx>
        <c:axId val="98121216"/>
        <c:scaling>
          <c:orientation val="minMax"/>
        </c:scaling>
        <c:delete val="0"/>
        <c:axPos val="l"/>
        <c:majorGridlines/>
        <c:numFmt formatCode="0.0%" sourceLinked="1"/>
        <c:majorTickMark val="out"/>
        <c:minorTickMark val="none"/>
        <c:tickLblPos val="nextTo"/>
        <c:crossAx val="98119680"/>
        <c:crosses val="autoZero"/>
        <c:crossBetween val="between"/>
      </c:valAx>
    </c:plotArea>
    <c:legend>
      <c:legendPos val="r"/>
      <c:layout>
        <c:manualLayout>
          <c:xMode val="edge"/>
          <c:yMode val="edge"/>
          <c:x val="0.8369815669593027"/>
          <c:y val="0.1338527944670424"/>
          <c:w val="0.16301843304069749"/>
          <c:h val="0.62847408291972984"/>
        </c:manualLayout>
      </c:layout>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Time Well Spent in Dental Clinic?</a:t>
            </a:r>
          </a:p>
        </c:rich>
      </c:tx>
      <c:layout/>
      <c:overlay val="0"/>
    </c:title>
    <c:autoTitleDeleted val="0"/>
    <c:plotArea>
      <c:layout/>
      <c:barChart>
        <c:barDir val="col"/>
        <c:grouping val="clustered"/>
        <c:varyColors val="0"/>
        <c:ser>
          <c:idx val="0"/>
          <c:order val="0"/>
          <c:tx>
            <c:strRef>
              <c:f>Sheet1!$B$1</c:f>
              <c:strCache>
                <c:ptCount val="1"/>
                <c:pt idx="0">
                  <c:v>Student Clinics</c:v>
                </c:pt>
              </c:strCache>
            </c:strRef>
          </c:tx>
          <c:invertIfNegative val="0"/>
          <c:cat>
            <c:strRef>
              <c:f>Sheet1!$A$2:$A$3</c:f>
              <c:strCache>
                <c:ptCount val="2"/>
                <c:pt idx="0">
                  <c:v>Yes</c:v>
                </c:pt>
                <c:pt idx="1">
                  <c:v>No</c:v>
                </c:pt>
              </c:strCache>
            </c:strRef>
          </c:cat>
          <c:val>
            <c:numRef>
              <c:f>Sheet1!$B$2:$B$3</c:f>
              <c:numCache>
                <c:formatCode>0.0%</c:formatCode>
                <c:ptCount val="2"/>
                <c:pt idx="0">
                  <c:v>0.98899999999999999</c:v>
                </c:pt>
                <c:pt idx="1">
                  <c:v>1.0999999999999999E-2</c:v>
                </c:pt>
              </c:numCache>
            </c:numRef>
          </c:val>
        </c:ser>
        <c:ser>
          <c:idx val="1"/>
          <c:order val="1"/>
          <c:tx>
            <c:strRef>
              <c:f>Sheet1!$C$1</c:f>
              <c:strCache>
                <c:ptCount val="1"/>
                <c:pt idx="0">
                  <c:v>Faculty Practice</c:v>
                </c:pt>
              </c:strCache>
            </c:strRef>
          </c:tx>
          <c:spPr>
            <a:solidFill>
              <a:schemeClr val="accent6"/>
            </a:solidFill>
            <a:ln>
              <a:solidFill>
                <a:schemeClr val="accent6"/>
              </a:solidFill>
            </a:ln>
          </c:spPr>
          <c:invertIfNegative val="0"/>
          <c:cat>
            <c:strRef>
              <c:f>Sheet1!$A$2:$A$3</c:f>
              <c:strCache>
                <c:ptCount val="2"/>
                <c:pt idx="0">
                  <c:v>Yes</c:v>
                </c:pt>
                <c:pt idx="1">
                  <c:v>No</c:v>
                </c:pt>
              </c:strCache>
            </c:strRef>
          </c:cat>
          <c:val>
            <c:numRef>
              <c:f>Sheet1!$C$2:$C$3</c:f>
              <c:numCache>
                <c:formatCode>0.0%</c:formatCode>
                <c:ptCount val="2"/>
                <c:pt idx="0">
                  <c:v>0.95499999999999996</c:v>
                </c:pt>
                <c:pt idx="1">
                  <c:v>4.4999999999999998E-2</c:v>
                </c:pt>
              </c:numCache>
            </c:numRef>
          </c:val>
        </c:ser>
        <c:ser>
          <c:idx val="2"/>
          <c:order val="2"/>
          <c:tx>
            <c:strRef>
              <c:f>Sheet1!$D$1</c:f>
              <c:strCache>
                <c:ptCount val="1"/>
                <c:pt idx="0">
                  <c:v>Graduate Endodontics</c:v>
                </c:pt>
              </c:strCache>
            </c:strRef>
          </c:tx>
          <c:invertIfNegative val="0"/>
          <c:cat>
            <c:strRef>
              <c:f>Sheet1!$A$2:$A$3</c:f>
              <c:strCache>
                <c:ptCount val="2"/>
                <c:pt idx="0">
                  <c:v>Yes</c:v>
                </c:pt>
                <c:pt idx="1">
                  <c:v>No</c:v>
                </c:pt>
              </c:strCache>
            </c:strRef>
          </c:cat>
          <c:val>
            <c:numRef>
              <c:f>Sheet1!$D$2:$D$3</c:f>
              <c:numCache>
                <c:formatCode>0.0%</c:formatCode>
                <c:ptCount val="2"/>
                <c:pt idx="0">
                  <c:v>0.98099999999999998</c:v>
                </c:pt>
                <c:pt idx="1">
                  <c:v>1.9E-2</c:v>
                </c:pt>
              </c:numCache>
            </c:numRef>
          </c:val>
        </c:ser>
        <c:ser>
          <c:idx val="3"/>
          <c:order val="3"/>
          <c:tx>
            <c:strRef>
              <c:f>Sheet1!$E$1</c:f>
              <c:strCache>
                <c:ptCount val="1"/>
                <c:pt idx="0">
                  <c:v>Grad Periodontics</c:v>
                </c:pt>
              </c:strCache>
            </c:strRef>
          </c:tx>
          <c:spPr>
            <a:solidFill>
              <a:schemeClr val="tx2"/>
            </a:solidFill>
            <a:ln>
              <a:solidFill>
                <a:schemeClr val="tx2"/>
              </a:solidFill>
            </a:ln>
          </c:spPr>
          <c:invertIfNegative val="0"/>
          <c:cat>
            <c:strRef>
              <c:f>Sheet1!$A$2:$A$3</c:f>
              <c:strCache>
                <c:ptCount val="2"/>
                <c:pt idx="0">
                  <c:v>Yes</c:v>
                </c:pt>
                <c:pt idx="1">
                  <c:v>No</c:v>
                </c:pt>
              </c:strCache>
            </c:strRef>
          </c:cat>
          <c:val>
            <c:numRef>
              <c:f>Sheet1!$E$2:$E$3</c:f>
              <c:numCache>
                <c:formatCode>0.0%</c:formatCode>
                <c:ptCount val="2"/>
                <c:pt idx="0">
                  <c:v>1</c:v>
                </c:pt>
                <c:pt idx="1">
                  <c:v>0</c:v>
                </c:pt>
              </c:numCache>
            </c:numRef>
          </c:val>
        </c:ser>
        <c:ser>
          <c:idx val="4"/>
          <c:order val="4"/>
          <c:tx>
            <c:strRef>
              <c:f>Sheet1!$F$1</c:f>
              <c:strCache>
                <c:ptCount val="1"/>
                <c:pt idx="0">
                  <c:v>Grad Prosthodontics</c:v>
                </c:pt>
              </c:strCache>
            </c:strRef>
          </c:tx>
          <c:spPr>
            <a:solidFill>
              <a:schemeClr val="accent1">
                <a:lumMod val="20000"/>
                <a:lumOff val="80000"/>
              </a:schemeClr>
            </a:solidFill>
            <a:ln>
              <a:solidFill>
                <a:schemeClr val="accent1">
                  <a:lumMod val="20000"/>
                  <a:lumOff val="80000"/>
                </a:schemeClr>
              </a:solidFill>
            </a:ln>
          </c:spPr>
          <c:invertIfNegative val="0"/>
          <c:cat>
            <c:strRef>
              <c:f>Sheet1!$A$2:$A$3</c:f>
              <c:strCache>
                <c:ptCount val="2"/>
                <c:pt idx="0">
                  <c:v>Yes</c:v>
                </c:pt>
                <c:pt idx="1">
                  <c:v>No</c:v>
                </c:pt>
              </c:strCache>
            </c:strRef>
          </c:cat>
          <c:val>
            <c:numRef>
              <c:f>Sheet1!$F$2:$F$3</c:f>
              <c:numCache>
                <c:formatCode>0.0%</c:formatCode>
                <c:ptCount val="2"/>
                <c:pt idx="0">
                  <c:v>0.97399999999999998</c:v>
                </c:pt>
                <c:pt idx="1">
                  <c:v>2.5999999999999999E-2</c:v>
                </c:pt>
              </c:numCache>
            </c:numRef>
          </c:val>
        </c:ser>
        <c:ser>
          <c:idx val="5"/>
          <c:order val="5"/>
          <c:tx>
            <c:strRef>
              <c:f>Sheet1!$G$1</c:f>
              <c:strCache>
                <c:ptCount val="1"/>
                <c:pt idx="0">
                  <c:v>Hialeah</c:v>
                </c:pt>
              </c:strCache>
            </c:strRef>
          </c:tx>
          <c:spPr>
            <a:solidFill>
              <a:schemeClr val="accent6">
                <a:lumMod val="60000"/>
                <a:lumOff val="40000"/>
              </a:schemeClr>
            </a:solidFill>
            <a:ln>
              <a:solidFill>
                <a:schemeClr val="accent6">
                  <a:lumMod val="60000"/>
                  <a:lumOff val="40000"/>
                </a:schemeClr>
              </a:solidFill>
            </a:ln>
          </c:spPr>
          <c:invertIfNegative val="0"/>
          <c:cat>
            <c:strRef>
              <c:f>Sheet1!$A$2:$A$3</c:f>
              <c:strCache>
                <c:ptCount val="2"/>
                <c:pt idx="0">
                  <c:v>Yes</c:v>
                </c:pt>
                <c:pt idx="1">
                  <c:v>No</c:v>
                </c:pt>
              </c:strCache>
            </c:strRef>
          </c:cat>
          <c:val>
            <c:numRef>
              <c:f>Sheet1!$G$2:$G$3</c:f>
              <c:numCache>
                <c:formatCode>0.0%</c:formatCode>
                <c:ptCount val="2"/>
                <c:pt idx="0">
                  <c:v>1</c:v>
                </c:pt>
                <c:pt idx="1">
                  <c:v>0</c:v>
                </c:pt>
              </c:numCache>
            </c:numRef>
          </c:val>
        </c:ser>
        <c:ser>
          <c:idx val="6"/>
          <c:order val="6"/>
          <c:tx>
            <c:strRef>
              <c:f>Sheet1!$H$1</c:f>
              <c:strCache>
                <c:ptCount val="1"/>
                <c:pt idx="0">
                  <c:v>Oral Medicine</c:v>
                </c:pt>
              </c:strCache>
            </c:strRef>
          </c:tx>
          <c:spPr>
            <a:solidFill>
              <a:schemeClr val="accent3">
                <a:lumMod val="50000"/>
              </a:schemeClr>
            </a:solidFill>
            <a:ln>
              <a:solidFill>
                <a:schemeClr val="accent3">
                  <a:lumMod val="50000"/>
                </a:schemeClr>
              </a:solidFill>
            </a:ln>
          </c:spPr>
          <c:invertIfNegative val="0"/>
          <c:cat>
            <c:strRef>
              <c:f>Sheet1!$A$2:$A$3</c:f>
              <c:strCache>
                <c:ptCount val="2"/>
                <c:pt idx="0">
                  <c:v>Yes</c:v>
                </c:pt>
                <c:pt idx="1">
                  <c:v>No</c:v>
                </c:pt>
              </c:strCache>
            </c:strRef>
          </c:cat>
          <c:val>
            <c:numRef>
              <c:f>Sheet1!$H$2:$H$3</c:f>
              <c:numCache>
                <c:formatCode>0.0%</c:formatCode>
                <c:ptCount val="2"/>
                <c:pt idx="0">
                  <c:v>1</c:v>
                </c:pt>
                <c:pt idx="1">
                  <c:v>0</c:v>
                </c:pt>
              </c:numCache>
            </c:numRef>
          </c:val>
        </c:ser>
        <c:ser>
          <c:idx val="7"/>
          <c:order val="7"/>
          <c:tx>
            <c:strRef>
              <c:f>Sheet1!$I$1</c:f>
              <c:strCache>
                <c:ptCount val="1"/>
                <c:pt idx="0">
                  <c:v>Orthodontics</c:v>
                </c:pt>
              </c:strCache>
            </c:strRef>
          </c:tx>
          <c:spPr>
            <a:solidFill>
              <a:srgbClr val="0070C0"/>
            </a:solidFill>
            <a:ln>
              <a:solidFill>
                <a:srgbClr val="0070C0"/>
              </a:solidFill>
            </a:ln>
          </c:spPr>
          <c:invertIfNegative val="0"/>
          <c:cat>
            <c:strRef>
              <c:f>Sheet1!$A$2:$A$3</c:f>
              <c:strCache>
                <c:ptCount val="2"/>
                <c:pt idx="0">
                  <c:v>Yes</c:v>
                </c:pt>
                <c:pt idx="1">
                  <c:v>No</c:v>
                </c:pt>
              </c:strCache>
            </c:strRef>
          </c:cat>
          <c:val>
            <c:numRef>
              <c:f>Sheet1!$I$2:$I$3</c:f>
              <c:numCache>
                <c:formatCode>0.0%</c:formatCode>
                <c:ptCount val="2"/>
                <c:pt idx="0">
                  <c:v>1</c:v>
                </c:pt>
                <c:pt idx="1">
                  <c:v>0</c:v>
                </c:pt>
              </c:numCache>
            </c:numRef>
          </c:val>
        </c:ser>
        <c:ser>
          <c:idx val="8"/>
          <c:order val="8"/>
          <c:tx>
            <c:strRef>
              <c:f>Sheet1!$J$1</c:f>
              <c:strCache>
                <c:ptCount val="1"/>
                <c:pt idx="0">
                  <c:v>Oral Surgery</c:v>
                </c:pt>
              </c:strCache>
            </c:strRef>
          </c:tx>
          <c:invertIfNegative val="0"/>
          <c:cat>
            <c:strRef>
              <c:f>Sheet1!$A$2:$A$3</c:f>
              <c:strCache>
                <c:ptCount val="2"/>
                <c:pt idx="0">
                  <c:v>Yes</c:v>
                </c:pt>
                <c:pt idx="1">
                  <c:v>No</c:v>
                </c:pt>
              </c:strCache>
            </c:strRef>
          </c:cat>
          <c:val>
            <c:numRef>
              <c:f>Sheet1!$J$2:$J$3</c:f>
              <c:numCache>
                <c:formatCode>0.0%</c:formatCode>
                <c:ptCount val="2"/>
                <c:pt idx="0">
                  <c:v>0.98399999999999999</c:v>
                </c:pt>
                <c:pt idx="1">
                  <c:v>1.6E-2</c:v>
                </c:pt>
              </c:numCache>
            </c:numRef>
          </c:val>
        </c:ser>
        <c:ser>
          <c:idx val="9"/>
          <c:order val="9"/>
          <c:tx>
            <c:strRef>
              <c:f>Sheet1!$K$1</c:f>
              <c:strCache>
                <c:ptCount val="1"/>
                <c:pt idx="0">
                  <c:v>Pediatrics</c:v>
                </c:pt>
              </c:strCache>
            </c:strRef>
          </c:tx>
          <c:invertIfNegative val="0"/>
          <c:cat>
            <c:strRef>
              <c:f>Sheet1!$A$2:$A$3</c:f>
              <c:strCache>
                <c:ptCount val="2"/>
                <c:pt idx="0">
                  <c:v>Yes</c:v>
                </c:pt>
                <c:pt idx="1">
                  <c:v>No</c:v>
                </c:pt>
              </c:strCache>
            </c:strRef>
          </c:cat>
          <c:val>
            <c:numRef>
              <c:f>Sheet1!$K$2:$K$3</c:f>
              <c:numCache>
                <c:formatCode>0.0%</c:formatCode>
                <c:ptCount val="2"/>
                <c:pt idx="0">
                  <c:v>0.97199999999999998</c:v>
                </c:pt>
                <c:pt idx="1">
                  <c:v>2.8000000000000001E-2</c:v>
                </c:pt>
              </c:numCache>
            </c:numRef>
          </c:val>
        </c:ser>
        <c:ser>
          <c:idx val="10"/>
          <c:order val="10"/>
          <c:tx>
            <c:strRef>
              <c:f>Sheet1!$L$1</c:f>
              <c:strCache>
                <c:ptCount val="1"/>
                <c:pt idx="0">
                  <c:v>St. Pete</c:v>
                </c:pt>
              </c:strCache>
            </c:strRef>
          </c:tx>
          <c:invertIfNegative val="0"/>
          <c:cat>
            <c:strRef>
              <c:f>Sheet1!$A$2:$A$3</c:f>
              <c:strCache>
                <c:ptCount val="2"/>
                <c:pt idx="0">
                  <c:v>Yes</c:v>
                </c:pt>
                <c:pt idx="1">
                  <c:v>No</c:v>
                </c:pt>
              </c:strCache>
            </c:strRef>
          </c:cat>
          <c:val>
            <c:numRef>
              <c:f>Sheet1!$L$2:$L$3</c:f>
              <c:numCache>
                <c:formatCode>0.0%</c:formatCode>
                <c:ptCount val="2"/>
                <c:pt idx="0">
                  <c:v>1</c:v>
                </c:pt>
                <c:pt idx="1">
                  <c:v>0</c:v>
                </c:pt>
              </c:numCache>
            </c:numRef>
          </c:val>
        </c:ser>
        <c:dLbls>
          <c:showLegendKey val="0"/>
          <c:showVal val="0"/>
          <c:showCatName val="0"/>
          <c:showSerName val="0"/>
          <c:showPercent val="0"/>
          <c:showBubbleSize val="0"/>
        </c:dLbls>
        <c:gapWidth val="150"/>
        <c:axId val="105186816"/>
        <c:axId val="105188352"/>
      </c:barChart>
      <c:catAx>
        <c:axId val="105186816"/>
        <c:scaling>
          <c:orientation val="minMax"/>
        </c:scaling>
        <c:delete val="0"/>
        <c:axPos val="b"/>
        <c:majorTickMark val="out"/>
        <c:minorTickMark val="none"/>
        <c:tickLblPos val="nextTo"/>
        <c:crossAx val="105188352"/>
        <c:crosses val="autoZero"/>
        <c:auto val="1"/>
        <c:lblAlgn val="ctr"/>
        <c:lblOffset val="100"/>
        <c:noMultiLvlLbl val="0"/>
      </c:catAx>
      <c:valAx>
        <c:axId val="105188352"/>
        <c:scaling>
          <c:orientation val="minMax"/>
          <c:max val="1"/>
        </c:scaling>
        <c:delete val="0"/>
        <c:axPos val="l"/>
        <c:majorGridlines/>
        <c:numFmt formatCode="0.0%" sourceLinked="1"/>
        <c:majorTickMark val="out"/>
        <c:minorTickMark val="none"/>
        <c:tickLblPos val="nextTo"/>
        <c:crossAx val="105186816"/>
        <c:crosses val="autoZero"/>
        <c:crossBetween val="between"/>
        <c:majorUnit val="0.2"/>
      </c:valAx>
    </c:plotArea>
    <c:legend>
      <c:legendPos val="r"/>
      <c:layout>
        <c:manualLayout>
          <c:xMode val="edge"/>
          <c:yMode val="edge"/>
          <c:x val="0.8393816118398566"/>
          <c:y val="0.13643932189635732"/>
          <c:w val="0.16061838816014362"/>
          <c:h val="0.64061850964281641"/>
        </c:manualLayout>
      </c:layout>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Given Good Directions to Location?</a:t>
            </a:r>
          </a:p>
        </c:rich>
      </c:tx>
      <c:layout/>
      <c:overlay val="0"/>
    </c:title>
    <c:autoTitleDeleted val="0"/>
    <c:plotArea>
      <c:layout/>
      <c:barChart>
        <c:barDir val="col"/>
        <c:grouping val="clustered"/>
        <c:varyColors val="0"/>
        <c:ser>
          <c:idx val="0"/>
          <c:order val="0"/>
          <c:tx>
            <c:strRef>
              <c:f>Sheet1!$B$1</c:f>
              <c:strCache>
                <c:ptCount val="1"/>
                <c:pt idx="0">
                  <c:v>Student Clinics</c:v>
                </c:pt>
              </c:strCache>
            </c:strRef>
          </c:tx>
          <c:invertIfNegative val="0"/>
          <c:cat>
            <c:strRef>
              <c:f>Sheet1!$A$2:$A$3</c:f>
              <c:strCache>
                <c:ptCount val="2"/>
                <c:pt idx="0">
                  <c:v>Yes</c:v>
                </c:pt>
                <c:pt idx="1">
                  <c:v>No</c:v>
                </c:pt>
              </c:strCache>
            </c:strRef>
          </c:cat>
          <c:val>
            <c:numRef>
              <c:f>Sheet1!$B$2:$B$3</c:f>
              <c:numCache>
                <c:formatCode>0.0%</c:formatCode>
                <c:ptCount val="2"/>
                <c:pt idx="0">
                  <c:v>0.97199999999999998</c:v>
                </c:pt>
                <c:pt idx="1">
                  <c:v>2.8000000000000001E-2</c:v>
                </c:pt>
              </c:numCache>
            </c:numRef>
          </c:val>
        </c:ser>
        <c:ser>
          <c:idx val="1"/>
          <c:order val="1"/>
          <c:tx>
            <c:strRef>
              <c:f>Sheet1!$C$1</c:f>
              <c:strCache>
                <c:ptCount val="1"/>
                <c:pt idx="0">
                  <c:v>Faculty Practice</c:v>
                </c:pt>
              </c:strCache>
            </c:strRef>
          </c:tx>
          <c:spPr>
            <a:solidFill>
              <a:schemeClr val="accent6"/>
            </a:solidFill>
            <a:ln>
              <a:solidFill>
                <a:schemeClr val="accent6"/>
              </a:solidFill>
            </a:ln>
          </c:spPr>
          <c:invertIfNegative val="0"/>
          <c:cat>
            <c:strRef>
              <c:f>Sheet1!$A$2:$A$3</c:f>
              <c:strCache>
                <c:ptCount val="2"/>
                <c:pt idx="0">
                  <c:v>Yes</c:v>
                </c:pt>
                <c:pt idx="1">
                  <c:v>No</c:v>
                </c:pt>
              </c:strCache>
            </c:strRef>
          </c:cat>
          <c:val>
            <c:numRef>
              <c:f>Sheet1!$C$2:$C$3</c:f>
              <c:numCache>
                <c:formatCode>0.0%</c:formatCode>
                <c:ptCount val="2"/>
                <c:pt idx="0">
                  <c:v>1</c:v>
                </c:pt>
                <c:pt idx="1">
                  <c:v>0</c:v>
                </c:pt>
              </c:numCache>
            </c:numRef>
          </c:val>
        </c:ser>
        <c:ser>
          <c:idx val="2"/>
          <c:order val="2"/>
          <c:tx>
            <c:strRef>
              <c:f>Sheet1!$D$1</c:f>
              <c:strCache>
                <c:ptCount val="1"/>
                <c:pt idx="0">
                  <c:v>Graduate Endodontics</c:v>
                </c:pt>
              </c:strCache>
            </c:strRef>
          </c:tx>
          <c:invertIfNegative val="0"/>
          <c:cat>
            <c:strRef>
              <c:f>Sheet1!$A$2:$A$3</c:f>
              <c:strCache>
                <c:ptCount val="2"/>
                <c:pt idx="0">
                  <c:v>Yes</c:v>
                </c:pt>
                <c:pt idx="1">
                  <c:v>No</c:v>
                </c:pt>
              </c:strCache>
            </c:strRef>
          </c:cat>
          <c:val>
            <c:numRef>
              <c:f>Sheet1!$D$2:$D$3</c:f>
              <c:numCache>
                <c:formatCode>0.0%</c:formatCode>
                <c:ptCount val="2"/>
                <c:pt idx="0">
                  <c:v>0.94499999999999995</c:v>
                </c:pt>
                <c:pt idx="1">
                  <c:v>5.5E-2</c:v>
                </c:pt>
              </c:numCache>
            </c:numRef>
          </c:val>
        </c:ser>
        <c:ser>
          <c:idx val="3"/>
          <c:order val="3"/>
          <c:tx>
            <c:strRef>
              <c:f>Sheet1!$E$1</c:f>
              <c:strCache>
                <c:ptCount val="1"/>
                <c:pt idx="0">
                  <c:v>Grad Periodontics</c:v>
                </c:pt>
              </c:strCache>
            </c:strRef>
          </c:tx>
          <c:spPr>
            <a:solidFill>
              <a:schemeClr val="tx2"/>
            </a:solidFill>
            <a:ln>
              <a:solidFill>
                <a:schemeClr val="tx2"/>
              </a:solidFill>
            </a:ln>
          </c:spPr>
          <c:invertIfNegative val="0"/>
          <c:cat>
            <c:strRef>
              <c:f>Sheet1!$A$2:$A$3</c:f>
              <c:strCache>
                <c:ptCount val="2"/>
                <c:pt idx="0">
                  <c:v>Yes</c:v>
                </c:pt>
                <c:pt idx="1">
                  <c:v>No</c:v>
                </c:pt>
              </c:strCache>
            </c:strRef>
          </c:cat>
          <c:val>
            <c:numRef>
              <c:f>Sheet1!$E$2:$E$3</c:f>
              <c:numCache>
                <c:formatCode>0.0%</c:formatCode>
                <c:ptCount val="2"/>
                <c:pt idx="0">
                  <c:v>0.96599999999999997</c:v>
                </c:pt>
                <c:pt idx="1">
                  <c:v>3.4000000000000002E-2</c:v>
                </c:pt>
              </c:numCache>
            </c:numRef>
          </c:val>
        </c:ser>
        <c:ser>
          <c:idx val="4"/>
          <c:order val="4"/>
          <c:tx>
            <c:strRef>
              <c:f>Sheet1!$F$1</c:f>
              <c:strCache>
                <c:ptCount val="1"/>
                <c:pt idx="0">
                  <c:v>Grad Prosthodontics</c:v>
                </c:pt>
              </c:strCache>
            </c:strRef>
          </c:tx>
          <c:spPr>
            <a:solidFill>
              <a:schemeClr val="accent1">
                <a:lumMod val="20000"/>
                <a:lumOff val="80000"/>
              </a:schemeClr>
            </a:solidFill>
            <a:ln>
              <a:solidFill>
                <a:schemeClr val="accent1">
                  <a:lumMod val="20000"/>
                  <a:lumOff val="80000"/>
                </a:schemeClr>
              </a:solidFill>
            </a:ln>
          </c:spPr>
          <c:invertIfNegative val="0"/>
          <c:cat>
            <c:strRef>
              <c:f>Sheet1!$A$2:$A$3</c:f>
              <c:strCache>
                <c:ptCount val="2"/>
                <c:pt idx="0">
                  <c:v>Yes</c:v>
                </c:pt>
                <c:pt idx="1">
                  <c:v>No</c:v>
                </c:pt>
              </c:strCache>
            </c:strRef>
          </c:cat>
          <c:val>
            <c:numRef>
              <c:f>Sheet1!$F$2:$F$3</c:f>
              <c:numCache>
                <c:formatCode>0.0%</c:formatCode>
                <c:ptCount val="2"/>
                <c:pt idx="0">
                  <c:v>0.97399999999999998</c:v>
                </c:pt>
                <c:pt idx="1">
                  <c:v>2.5999999999999999E-2</c:v>
                </c:pt>
              </c:numCache>
            </c:numRef>
          </c:val>
        </c:ser>
        <c:ser>
          <c:idx val="5"/>
          <c:order val="5"/>
          <c:tx>
            <c:strRef>
              <c:f>Sheet1!$G$1</c:f>
              <c:strCache>
                <c:ptCount val="1"/>
                <c:pt idx="0">
                  <c:v>Hialeah</c:v>
                </c:pt>
              </c:strCache>
            </c:strRef>
          </c:tx>
          <c:spPr>
            <a:solidFill>
              <a:schemeClr val="accent6">
                <a:lumMod val="60000"/>
                <a:lumOff val="40000"/>
              </a:schemeClr>
            </a:solidFill>
            <a:ln>
              <a:solidFill>
                <a:schemeClr val="accent6">
                  <a:lumMod val="60000"/>
                  <a:lumOff val="40000"/>
                </a:schemeClr>
              </a:solidFill>
            </a:ln>
          </c:spPr>
          <c:invertIfNegative val="0"/>
          <c:cat>
            <c:strRef>
              <c:f>Sheet1!$A$2:$A$3</c:f>
              <c:strCache>
                <c:ptCount val="2"/>
                <c:pt idx="0">
                  <c:v>Yes</c:v>
                </c:pt>
                <c:pt idx="1">
                  <c:v>No</c:v>
                </c:pt>
              </c:strCache>
            </c:strRef>
          </c:cat>
          <c:val>
            <c:numRef>
              <c:f>Sheet1!$G$2:$G$3</c:f>
              <c:numCache>
                <c:formatCode>0.0%</c:formatCode>
                <c:ptCount val="2"/>
                <c:pt idx="0">
                  <c:v>0.97299999999999998</c:v>
                </c:pt>
                <c:pt idx="1">
                  <c:v>2.7E-2</c:v>
                </c:pt>
              </c:numCache>
            </c:numRef>
          </c:val>
        </c:ser>
        <c:ser>
          <c:idx val="6"/>
          <c:order val="6"/>
          <c:tx>
            <c:strRef>
              <c:f>Sheet1!$H$1</c:f>
              <c:strCache>
                <c:ptCount val="1"/>
                <c:pt idx="0">
                  <c:v>Oral Medicine</c:v>
                </c:pt>
              </c:strCache>
            </c:strRef>
          </c:tx>
          <c:spPr>
            <a:solidFill>
              <a:schemeClr val="accent3">
                <a:lumMod val="50000"/>
              </a:schemeClr>
            </a:solidFill>
            <a:ln>
              <a:solidFill>
                <a:schemeClr val="accent3">
                  <a:lumMod val="50000"/>
                </a:schemeClr>
              </a:solidFill>
            </a:ln>
          </c:spPr>
          <c:invertIfNegative val="0"/>
          <c:cat>
            <c:strRef>
              <c:f>Sheet1!$A$2:$A$3</c:f>
              <c:strCache>
                <c:ptCount val="2"/>
                <c:pt idx="0">
                  <c:v>Yes</c:v>
                </c:pt>
                <c:pt idx="1">
                  <c:v>No</c:v>
                </c:pt>
              </c:strCache>
            </c:strRef>
          </c:cat>
          <c:val>
            <c:numRef>
              <c:f>Sheet1!$H$2:$H$3</c:f>
              <c:numCache>
                <c:formatCode>0.0%</c:formatCode>
                <c:ptCount val="2"/>
                <c:pt idx="0">
                  <c:v>1</c:v>
                </c:pt>
                <c:pt idx="1">
                  <c:v>0</c:v>
                </c:pt>
              </c:numCache>
            </c:numRef>
          </c:val>
        </c:ser>
        <c:ser>
          <c:idx val="7"/>
          <c:order val="7"/>
          <c:tx>
            <c:strRef>
              <c:f>Sheet1!$I$1</c:f>
              <c:strCache>
                <c:ptCount val="1"/>
                <c:pt idx="0">
                  <c:v>Orthodontics</c:v>
                </c:pt>
              </c:strCache>
            </c:strRef>
          </c:tx>
          <c:spPr>
            <a:solidFill>
              <a:srgbClr val="0070C0"/>
            </a:solidFill>
            <a:ln>
              <a:solidFill>
                <a:srgbClr val="0070C0"/>
              </a:solidFill>
            </a:ln>
          </c:spPr>
          <c:invertIfNegative val="0"/>
          <c:cat>
            <c:strRef>
              <c:f>Sheet1!$A$2:$A$3</c:f>
              <c:strCache>
                <c:ptCount val="2"/>
                <c:pt idx="0">
                  <c:v>Yes</c:v>
                </c:pt>
                <c:pt idx="1">
                  <c:v>No</c:v>
                </c:pt>
              </c:strCache>
            </c:strRef>
          </c:cat>
          <c:val>
            <c:numRef>
              <c:f>Sheet1!$I$2:$I$3</c:f>
              <c:numCache>
                <c:formatCode>0.0%</c:formatCode>
                <c:ptCount val="2"/>
                <c:pt idx="0">
                  <c:v>0.98199999999999998</c:v>
                </c:pt>
                <c:pt idx="1">
                  <c:v>1.7999999999999999E-2</c:v>
                </c:pt>
              </c:numCache>
            </c:numRef>
          </c:val>
        </c:ser>
        <c:ser>
          <c:idx val="8"/>
          <c:order val="8"/>
          <c:tx>
            <c:strRef>
              <c:f>Sheet1!$J$1</c:f>
              <c:strCache>
                <c:ptCount val="1"/>
                <c:pt idx="0">
                  <c:v>Oral Surgery</c:v>
                </c:pt>
              </c:strCache>
            </c:strRef>
          </c:tx>
          <c:invertIfNegative val="0"/>
          <c:cat>
            <c:strRef>
              <c:f>Sheet1!$A$2:$A$3</c:f>
              <c:strCache>
                <c:ptCount val="2"/>
                <c:pt idx="0">
                  <c:v>Yes</c:v>
                </c:pt>
                <c:pt idx="1">
                  <c:v>No</c:v>
                </c:pt>
              </c:strCache>
            </c:strRef>
          </c:cat>
          <c:val>
            <c:numRef>
              <c:f>Sheet1!$J$2:$J$3</c:f>
              <c:numCache>
                <c:formatCode>0.0%</c:formatCode>
                <c:ptCount val="2"/>
                <c:pt idx="0">
                  <c:v>0.93799999999999994</c:v>
                </c:pt>
                <c:pt idx="1">
                  <c:v>6.3E-2</c:v>
                </c:pt>
              </c:numCache>
            </c:numRef>
          </c:val>
        </c:ser>
        <c:ser>
          <c:idx val="9"/>
          <c:order val="9"/>
          <c:tx>
            <c:strRef>
              <c:f>Sheet1!$K$1</c:f>
              <c:strCache>
                <c:ptCount val="1"/>
                <c:pt idx="0">
                  <c:v>Pediatrics</c:v>
                </c:pt>
              </c:strCache>
            </c:strRef>
          </c:tx>
          <c:invertIfNegative val="0"/>
          <c:cat>
            <c:strRef>
              <c:f>Sheet1!$A$2:$A$3</c:f>
              <c:strCache>
                <c:ptCount val="2"/>
                <c:pt idx="0">
                  <c:v>Yes</c:v>
                </c:pt>
                <c:pt idx="1">
                  <c:v>No</c:v>
                </c:pt>
              </c:strCache>
            </c:strRef>
          </c:cat>
          <c:val>
            <c:numRef>
              <c:f>Sheet1!$K$2:$K$3</c:f>
              <c:numCache>
                <c:formatCode>0.0%</c:formatCode>
                <c:ptCount val="2"/>
                <c:pt idx="0">
                  <c:v>1</c:v>
                </c:pt>
                <c:pt idx="1">
                  <c:v>0</c:v>
                </c:pt>
              </c:numCache>
            </c:numRef>
          </c:val>
        </c:ser>
        <c:ser>
          <c:idx val="10"/>
          <c:order val="10"/>
          <c:tx>
            <c:strRef>
              <c:f>Sheet1!$L$1</c:f>
              <c:strCache>
                <c:ptCount val="1"/>
                <c:pt idx="0">
                  <c:v>St. Pete</c:v>
                </c:pt>
              </c:strCache>
            </c:strRef>
          </c:tx>
          <c:invertIfNegative val="0"/>
          <c:cat>
            <c:strRef>
              <c:f>Sheet1!$A$2:$A$3</c:f>
              <c:strCache>
                <c:ptCount val="2"/>
                <c:pt idx="0">
                  <c:v>Yes</c:v>
                </c:pt>
                <c:pt idx="1">
                  <c:v>No</c:v>
                </c:pt>
              </c:strCache>
            </c:strRef>
          </c:cat>
          <c:val>
            <c:numRef>
              <c:f>Sheet1!$L$2:$L$3</c:f>
              <c:numCache>
                <c:formatCode>0.0%</c:formatCode>
                <c:ptCount val="2"/>
                <c:pt idx="0">
                  <c:v>0.95899999999999996</c:v>
                </c:pt>
                <c:pt idx="1">
                  <c:v>4.1000000000000002E-2</c:v>
                </c:pt>
              </c:numCache>
            </c:numRef>
          </c:val>
        </c:ser>
        <c:dLbls>
          <c:showLegendKey val="0"/>
          <c:showVal val="0"/>
          <c:showCatName val="0"/>
          <c:showSerName val="0"/>
          <c:showPercent val="0"/>
          <c:showBubbleSize val="0"/>
        </c:dLbls>
        <c:gapWidth val="150"/>
        <c:axId val="105422208"/>
        <c:axId val="105436288"/>
      </c:barChart>
      <c:catAx>
        <c:axId val="105422208"/>
        <c:scaling>
          <c:orientation val="minMax"/>
        </c:scaling>
        <c:delete val="0"/>
        <c:axPos val="b"/>
        <c:majorTickMark val="out"/>
        <c:minorTickMark val="none"/>
        <c:tickLblPos val="nextTo"/>
        <c:crossAx val="105436288"/>
        <c:crosses val="autoZero"/>
        <c:auto val="1"/>
        <c:lblAlgn val="ctr"/>
        <c:lblOffset val="100"/>
        <c:noMultiLvlLbl val="0"/>
      </c:catAx>
      <c:valAx>
        <c:axId val="105436288"/>
        <c:scaling>
          <c:orientation val="minMax"/>
          <c:max val="1"/>
        </c:scaling>
        <c:delete val="0"/>
        <c:axPos val="l"/>
        <c:majorGridlines/>
        <c:numFmt formatCode="0.0%" sourceLinked="1"/>
        <c:majorTickMark val="out"/>
        <c:minorTickMark val="none"/>
        <c:tickLblPos val="nextTo"/>
        <c:crossAx val="105422208"/>
        <c:crosses val="autoZero"/>
        <c:crossBetween val="between"/>
        <c:majorUnit val="0.2"/>
      </c:valAx>
    </c:plotArea>
    <c:legend>
      <c:legendPos val="r"/>
      <c:layout>
        <c:manualLayout>
          <c:xMode val="edge"/>
          <c:yMode val="edge"/>
          <c:x val="0.83754176776012967"/>
          <c:y val="0.12931712883715626"/>
          <c:w val="0.16245823223987035"/>
          <c:h val="0.57655665867853478"/>
        </c:manualLayout>
      </c:layout>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Signs Helpful for Finding Registration?</a:t>
            </a:r>
          </a:p>
        </c:rich>
      </c:tx>
      <c:layout/>
      <c:overlay val="0"/>
    </c:title>
    <c:autoTitleDeleted val="0"/>
    <c:plotArea>
      <c:layout/>
      <c:barChart>
        <c:barDir val="col"/>
        <c:grouping val="clustered"/>
        <c:varyColors val="0"/>
        <c:ser>
          <c:idx val="0"/>
          <c:order val="0"/>
          <c:tx>
            <c:strRef>
              <c:f>Sheet1!$B$1</c:f>
              <c:strCache>
                <c:ptCount val="1"/>
                <c:pt idx="0">
                  <c:v>Student Clinics</c:v>
                </c:pt>
              </c:strCache>
            </c:strRef>
          </c:tx>
          <c:invertIfNegative val="0"/>
          <c:cat>
            <c:strRef>
              <c:f>Sheet1!$A$2:$A$3</c:f>
              <c:strCache>
                <c:ptCount val="2"/>
                <c:pt idx="0">
                  <c:v>Yes</c:v>
                </c:pt>
                <c:pt idx="1">
                  <c:v>No</c:v>
                </c:pt>
              </c:strCache>
            </c:strRef>
          </c:cat>
          <c:val>
            <c:numRef>
              <c:f>Sheet1!$B$2:$B$3</c:f>
              <c:numCache>
                <c:formatCode>0.0%</c:formatCode>
                <c:ptCount val="2"/>
                <c:pt idx="0">
                  <c:v>0.98099999999999998</c:v>
                </c:pt>
                <c:pt idx="1">
                  <c:v>1.9E-2</c:v>
                </c:pt>
              </c:numCache>
            </c:numRef>
          </c:val>
        </c:ser>
        <c:ser>
          <c:idx val="1"/>
          <c:order val="1"/>
          <c:tx>
            <c:strRef>
              <c:f>Sheet1!$C$1</c:f>
              <c:strCache>
                <c:ptCount val="1"/>
                <c:pt idx="0">
                  <c:v>Faculty Practice</c:v>
                </c:pt>
              </c:strCache>
            </c:strRef>
          </c:tx>
          <c:spPr>
            <a:solidFill>
              <a:schemeClr val="accent6"/>
            </a:solidFill>
            <a:ln>
              <a:solidFill>
                <a:schemeClr val="accent6"/>
              </a:solidFill>
            </a:ln>
          </c:spPr>
          <c:invertIfNegative val="0"/>
          <c:cat>
            <c:strRef>
              <c:f>Sheet1!$A$2:$A$3</c:f>
              <c:strCache>
                <c:ptCount val="2"/>
                <c:pt idx="0">
                  <c:v>Yes</c:v>
                </c:pt>
                <c:pt idx="1">
                  <c:v>No</c:v>
                </c:pt>
              </c:strCache>
            </c:strRef>
          </c:cat>
          <c:val>
            <c:numRef>
              <c:f>Sheet1!$C$2:$C$3</c:f>
              <c:numCache>
                <c:formatCode>0.0%</c:formatCode>
                <c:ptCount val="2"/>
                <c:pt idx="0">
                  <c:v>1</c:v>
                </c:pt>
                <c:pt idx="1">
                  <c:v>0</c:v>
                </c:pt>
              </c:numCache>
            </c:numRef>
          </c:val>
        </c:ser>
        <c:ser>
          <c:idx val="2"/>
          <c:order val="2"/>
          <c:tx>
            <c:strRef>
              <c:f>Sheet1!$D$1</c:f>
              <c:strCache>
                <c:ptCount val="1"/>
                <c:pt idx="0">
                  <c:v>Graduate Endodontics</c:v>
                </c:pt>
              </c:strCache>
            </c:strRef>
          </c:tx>
          <c:invertIfNegative val="0"/>
          <c:cat>
            <c:strRef>
              <c:f>Sheet1!$A$2:$A$3</c:f>
              <c:strCache>
                <c:ptCount val="2"/>
                <c:pt idx="0">
                  <c:v>Yes</c:v>
                </c:pt>
                <c:pt idx="1">
                  <c:v>No</c:v>
                </c:pt>
              </c:strCache>
            </c:strRef>
          </c:cat>
          <c:val>
            <c:numRef>
              <c:f>Sheet1!$D$2:$D$3</c:f>
              <c:numCache>
                <c:formatCode>0.0%</c:formatCode>
                <c:ptCount val="2"/>
                <c:pt idx="0">
                  <c:v>1</c:v>
                </c:pt>
                <c:pt idx="1">
                  <c:v>0</c:v>
                </c:pt>
              </c:numCache>
            </c:numRef>
          </c:val>
        </c:ser>
        <c:ser>
          <c:idx val="3"/>
          <c:order val="3"/>
          <c:tx>
            <c:strRef>
              <c:f>Sheet1!$E$1</c:f>
              <c:strCache>
                <c:ptCount val="1"/>
                <c:pt idx="0">
                  <c:v>Grad Periodontics</c:v>
                </c:pt>
              </c:strCache>
            </c:strRef>
          </c:tx>
          <c:spPr>
            <a:solidFill>
              <a:schemeClr val="tx2"/>
            </a:solidFill>
            <a:ln>
              <a:solidFill>
                <a:schemeClr val="tx2"/>
              </a:solidFill>
            </a:ln>
          </c:spPr>
          <c:invertIfNegative val="0"/>
          <c:cat>
            <c:strRef>
              <c:f>Sheet1!$A$2:$A$3</c:f>
              <c:strCache>
                <c:ptCount val="2"/>
                <c:pt idx="0">
                  <c:v>Yes</c:v>
                </c:pt>
                <c:pt idx="1">
                  <c:v>No</c:v>
                </c:pt>
              </c:strCache>
            </c:strRef>
          </c:cat>
          <c:val>
            <c:numRef>
              <c:f>Sheet1!$E$2:$E$3</c:f>
              <c:numCache>
                <c:formatCode>0.0%</c:formatCode>
                <c:ptCount val="2"/>
                <c:pt idx="0">
                  <c:v>0.96399999999999997</c:v>
                </c:pt>
                <c:pt idx="1">
                  <c:v>3.5999999999999997E-2</c:v>
                </c:pt>
              </c:numCache>
            </c:numRef>
          </c:val>
        </c:ser>
        <c:ser>
          <c:idx val="4"/>
          <c:order val="4"/>
          <c:tx>
            <c:strRef>
              <c:f>Sheet1!$F$1</c:f>
              <c:strCache>
                <c:ptCount val="1"/>
                <c:pt idx="0">
                  <c:v>Grad Prosthodontics</c:v>
                </c:pt>
              </c:strCache>
            </c:strRef>
          </c:tx>
          <c:spPr>
            <a:solidFill>
              <a:schemeClr val="accent1">
                <a:lumMod val="20000"/>
                <a:lumOff val="80000"/>
              </a:schemeClr>
            </a:solidFill>
            <a:ln>
              <a:solidFill>
                <a:schemeClr val="accent1">
                  <a:lumMod val="20000"/>
                  <a:lumOff val="80000"/>
                </a:schemeClr>
              </a:solidFill>
            </a:ln>
          </c:spPr>
          <c:invertIfNegative val="0"/>
          <c:cat>
            <c:strRef>
              <c:f>Sheet1!$A$2:$A$3</c:f>
              <c:strCache>
                <c:ptCount val="2"/>
                <c:pt idx="0">
                  <c:v>Yes</c:v>
                </c:pt>
                <c:pt idx="1">
                  <c:v>No</c:v>
                </c:pt>
              </c:strCache>
            </c:strRef>
          </c:cat>
          <c:val>
            <c:numRef>
              <c:f>Sheet1!$F$2:$F$3</c:f>
              <c:numCache>
                <c:formatCode>0.0%</c:formatCode>
                <c:ptCount val="2"/>
                <c:pt idx="0">
                  <c:v>1</c:v>
                </c:pt>
                <c:pt idx="1">
                  <c:v>0</c:v>
                </c:pt>
              </c:numCache>
            </c:numRef>
          </c:val>
        </c:ser>
        <c:ser>
          <c:idx val="5"/>
          <c:order val="5"/>
          <c:tx>
            <c:strRef>
              <c:f>Sheet1!$G$1</c:f>
              <c:strCache>
                <c:ptCount val="1"/>
                <c:pt idx="0">
                  <c:v>Hialeah</c:v>
                </c:pt>
              </c:strCache>
            </c:strRef>
          </c:tx>
          <c:spPr>
            <a:solidFill>
              <a:schemeClr val="accent6">
                <a:lumMod val="60000"/>
                <a:lumOff val="40000"/>
              </a:schemeClr>
            </a:solidFill>
            <a:ln>
              <a:solidFill>
                <a:schemeClr val="accent6">
                  <a:lumMod val="60000"/>
                  <a:lumOff val="40000"/>
                </a:schemeClr>
              </a:solidFill>
            </a:ln>
          </c:spPr>
          <c:invertIfNegative val="0"/>
          <c:cat>
            <c:strRef>
              <c:f>Sheet1!$A$2:$A$3</c:f>
              <c:strCache>
                <c:ptCount val="2"/>
                <c:pt idx="0">
                  <c:v>Yes</c:v>
                </c:pt>
                <c:pt idx="1">
                  <c:v>No</c:v>
                </c:pt>
              </c:strCache>
            </c:strRef>
          </c:cat>
          <c:val>
            <c:numRef>
              <c:f>Sheet1!$G$2:$G$3</c:f>
              <c:numCache>
                <c:formatCode>0.0%</c:formatCode>
                <c:ptCount val="2"/>
                <c:pt idx="0">
                  <c:v>0.97099999999999997</c:v>
                </c:pt>
                <c:pt idx="1">
                  <c:v>2.9000000000000001E-2</c:v>
                </c:pt>
              </c:numCache>
            </c:numRef>
          </c:val>
        </c:ser>
        <c:ser>
          <c:idx val="6"/>
          <c:order val="6"/>
          <c:tx>
            <c:strRef>
              <c:f>Sheet1!$H$1</c:f>
              <c:strCache>
                <c:ptCount val="1"/>
                <c:pt idx="0">
                  <c:v>Oral Medicine</c:v>
                </c:pt>
              </c:strCache>
            </c:strRef>
          </c:tx>
          <c:spPr>
            <a:solidFill>
              <a:schemeClr val="accent3">
                <a:lumMod val="50000"/>
              </a:schemeClr>
            </a:solidFill>
            <a:ln>
              <a:solidFill>
                <a:schemeClr val="accent3">
                  <a:lumMod val="50000"/>
                </a:schemeClr>
              </a:solidFill>
            </a:ln>
          </c:spPr>
          <c:invertIfNegative val="0"/>
          <c:cat>
            <c:strRef>
              <c:f>Sheet1!$A$2:$A$3</c:f>
              <c:strCache>
                <c:ptCount val="2"/>
                <c:pt idx="0">
                  <c:v>Yes</c:v>
                </c:pt>
                <c:pt idx="1">
                  <c:v>No</c:v>
                </c:pt>
              </c:strCache>
            </c:strRef>
          </c:cat>
          <c:val>
            <c:numRef>
              <c:f>Sheet1!$H$2:$H$3</c:f>
              <c:numCache>
                <c:formatCode>0.0%</c:formatCode>
                <c:ptCount val="2"/>
                <c:pt idx="0">
                  <c:v>0.94099999999999995</c:v>
                </c:pt>
                <c:pt idx="1">
                  <c:v>5.8999999999999997E-2</c:v>
                </c:pt>
              </c:numCache>
            </c:numRef>
          </c:val>
        </c:ser>
        <c:ser>
          <c:idx val="7"/>
          <c:order val="7"/>
          <c:tx>
            <c:strRef>
              <c:f>Sheet1!$I$1</c:f>
              <c:strCache>
                <c:ptCount val="1"/>
                <c:pt idx="0">
                  <c:v>Orthodontics</c:v>
                </c:pt>
              </c:strCache>
            </c:strRef>
          </c:tx>
          <c:spPr>
            <a:solidFill>
              <a:srgbClr val="0070C0"/>
            </a:solidFill>
            <a:ln>
              <a:solidFill>
                <a:srgbClr val="0070C0"/>
              </a:solidFill>
            </a:ln>
          </c:spPr>
          <c:invertIfNegative val="0"/>
          <c:cat>
            <c:strRef>
              <c:f>Sheet1!$A$2:$A$3</c:f>
              <c:strCache>
                <c:ptCount val="2"/>
                <c:pt idx="0">
                  <c:v>Yes</c:v>
                </c:pt>
                <c:pt idx="1">
                  <c:v>No</c:v>
                </c:pt>
              </c:strCache>
            </c:strRef>
          </c:cat>
          <c:val>
            <c:numRef>
              <c:f>Sheet1!$I$2:$I$3</c:f>
              <c:numCache>
                <c:formatCode>0.0%</c:formatCode>
                <c:ptCount val="2"/>
                <c:pt idx="0">
                  <c:v>0.96199999999999997</c:v>
                </c:pt>
                <c:pt idx="1">
                  <c:v>3.7999999999999999E-2</c:v>
                </c:pt>
              </c:numCache>
            </c:numRef>
          </c:val>
        </c:ser>
        <c:ser>
          <c:idx val="8"/>
          <c:order val="8"/>
          <c:tx>
            <c:strRef>
              <c:f>Sheet1!$J$1</c:f>
              <c:strCache>
                <c:ptCount val="1"/>
                <c:pt idx="0">
                  <c:v>Oral Surgery</c:v>
                </c:pt>
              </c:strCache>
            </c:strRef>
          </c:tx>
          <c:invertIfNegative val="0"/>
          <c:cat>
            <c:strRef>
              <c:f>Sheet1!$A$2:$A$3</c:f>
              <c:strCache>
                <c:ptCount val="2"/>
                <c:pt idx="0">
                  <c:v>Yes</c:v>
                </c:pt>
                <c:pt idx="1">
                  <c:v>No</c:v>
                </c:pt>
              </c:strCache>
            </c:strRef>
          </c:cat>
          <c:val>
            <c:numRef>
              <c:f>Sheet1!$J$2:$J$3</c:f>
              <c:numCache>
                <c:formatCode>0.0%</c:formatCode>
                <c:ptCount val="2"/>
                <c:pt idx="0">
                  <c:v>0.95399999999999996</c:v>
                </c:pt>
                <c:pt idx="1">
                  <c:v>4.5999999999999999E-2</c:v>
                </c:pt>
              </c:numCache>
            </c:numRef>
          </c:val>
        </c:ser>
        <c:ser>
          <c:idx val="9"/>
          <c:order val="9"/>
          <c:tx>
            <c:strRef>
              <c:f>Sheet1!$K$1</c:f>
              <c:strCache>
                <c:ptCount val="1"/>
                <c:pt idx="0">
                  <c:v>Pediatrics</c:v>
                </c:pt>
              </c:strCache>
            </c:strRef>
          </c:tx>
          <c:invertIfNegative val="0"/>
          <c:cat>
            <c:strRef>
              <c:f>Sheet1!$A$2:$A$3</c:f>
              <c:strCache>
                <c:ptCount val="2"/>
                <c:pt idx="0">
                  <c:v>Yes</c:v>
                </c:pt>
                <c:pt idx="1">
                  <c:v>No</c:v>
                </c:pt>
              </c:strCache>
            </c:strRef>
          </c:cat>
          <c:val>
            <c:numRef>
              <c:f>Sheet1!$K$2:$K$3</c:f>
              <c:numCache>
                <c:formatCode>0.0%</c:formatCode>
                <c:ptCount val="2"/>
                <c:pt idx="0">
                  <c:v>0.97199999999999998</c:v>
                </c:pt>
                <c:pt idx="1">
                  <c:v>2.8000000000000001E-2</c:v>
                </c:pt>
              </c:numCache>
            </c:numRef>
          </c:val>
        </c:ser>
        <c:ser>
          <c:idx val="10"/>
          <c:order val="10"/>
          <c:tx>
            <c:strRef>
              <c:f>Sheet1!$L$1</c:f>
              <c:strCache>
                <c:ptCount val="1"/>
                <c:pt idx="0">
                  <c:v>St. Pete</c:v>
                </c:pt>
              </c:strCache>
            </c:strRef>
          </c:tx>
          <c:invertIfNegative val="0"/>
          <c:cat>
            <c:strRef>
              <c:f>Sheet1!$A$2:$A$3</c:f>
              <c:strCache>
                <c:ptCount val="2"/>
                <c:pt idx="0">
                  <c:v>Yes</c:v>
                </c:pt>
                <c:pt idx="1">
                  <c:v>No</c:v>
                </c:pt>
              </c:strCache>
            </c:strRef>
          </c:cat>
          <c:val>
            <c:numRef>
              <c:f>Sheet1!$L$2:$L$3</c:f>
              <c:numCache>
                <c:formatCode>0.0%</c:formatCode>
                <c:ptCount val="2"/>
                <c:pt idx="0">
                  <c:v>0.93600000000000005</c:v>
                </c:pt>
                <c:pt idx="1">
                  <c:v>6.4000000000000001E-2</c:v>
                </c:pt>
              </c:numCache>
            </c:numRef>
          </c:val>
        </c:ser>
        <c:dLbls>
          <c:showLegendKey val="0"/>
          <c:showVal val="0"/>
          <c:showCatName val="0"/>
          <c:showSerName val="0"/>
          <c:showPercent val="0"/>
          <c:showBubbleSize val="0"/>
        </c:dLbls>
        <c:gapWidth val="150"/>
        <c:axId val="116233344"/>
        <c:axId val="116234880"/>
      </c:barChart>
      <c:catAx>
        <c:axId val="116233344"/>
        <c:scaling>
          <c:orientation val="minMax"/>
        </c:scaling>
        <c:delete val="0"/>
        <c:axPos val="b"/>
        <c:majorTickMark val="out"/>
        <c:minorTickMark val="none"/>
        <c:tickLblPos val="nextTo"/>
        <c:crossAx val="116234880"/>
        <c:crosses val="autoZero"/>
        <c:auto val="1"/>
        <c:lblAlgn val="ctr"/>
        <c:lblOffset val="100"/>
        <c:noMultiLvlLbl val="0"/>
      </c:catAx>
      <c:valAx>
        <c:axId val="116234880"/>
        <c:scaling>
          <c:orientation val="minMax"/>
          <c:max val="1"/>
        </c:scaling>
        <c:delete val="0"/>
        <c:axPos val="l"/>
        <c:majorGridlines/>
        <c:numFmt formatCode="0.0%" sourceLinked="1"/>
        <c:majorTickMark val="out"/>
        <c:minorTickMark val="none"/>
        <c:tickLblPos val="nextTo"/>
        <c:crossAx val="116233344"/>
        <c:crosses val="autoZero"/>
        <c:crossBetween val="between"/>
        <c:majorUnit val="0.2"/>
      </c:valAx>
    </c:plotArea>
    <c:legend>
      <c:legendPos val="r"/>
      <c:layout>
        <c:manualLayout>
          <c:xMode val="edge"/>
          <c:yMode val="edge"/>
          <c:x val="0.84118025000514363"/>
          <c:y val="0.11494911237361156"/>
          <c:w val="0.15881974999485646"/>
          <c:h val="0.55952755905511808"/>
        </c:manualLayout>
      </c:layout>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Appearance of Reception</a:t>
            </a:r>
            <a:r>
              <a:rPr lang="en-US" baseline="0"/>
              <a:t> Area</a:t>
            </a:r>
            <a:endParaRPr lang="en-US"/>
          </a:p>
        </c:rich>
      </c:tx>
      <c:layout/>
      <c:overlay val="0"/>
    </c:title>
    <c:autoTitleDeleted val="0"/>
    <c:plotArea>
      <c:layout/>
      <c:barChart>
        <c:barDir val="col"/>
        <c:grouping val="clustered"/>
        <c:varyColors val="0"/>
        <c:ser>
          <c:idx val="0"/>
          <c:order val="0"/>
          <c:tx>
            <c:strRef>
              <c:f>Sheet1!$B$1</c:f>
              <c:strCache>
                <c:ptCount val="1"/>
                <c:pt idx="0">
                  <c:v>Student Clinics</c:v>
                </c:pt>
              </c:strCache>
            </c:strRef>
          </c:tx>
          <c:invertIfNegative val="0"/>
          <c:cat>
            <c:strRef>
              <c:f>Sheet1!$A$2:$A$6</c:f>
              <c:strCache>
                <c:ptCount val="5"/>
                <c:pt idx="0">
                  <c:v>Excellent</c:v>
                </c:pt>
                <c:pt idx="1">
                  <c:v>Very Good</c:v>
                </c:pt>
                <c:pt idx="2">
                  <c:v>Good</c:v>
                </c:pt>
                <c:pt idx="3">
                  <c:v>Fair</c:v>
                </c:pt>
                <c:pt idx="4">
                  <c:v>Poor</c:v>
                </c:pt>
              </c:strCache>
            </c:strRef>
          </c:cat>
          <c:val>
            <c:numRef>
              <c:f>Sheet1!$B$2:$B$6</c:f>
              <c:numCache>
                <c:formatCode>0.0%</c:formatCode>
                <c:ptCount val="5"/>
                <c:pt idx="0">
                  <c:v>0.55800000000000005</c:v>
                </c:pt>
                <c:pt idx="1">
                  <c:v>0.33300000000000002</c:v>
                </c:pt>
                <c:pt idx="2">
                  <c:v>9.2999999999999999E-2</c:v>
                </c:pt>
                <c:pt idx="3">
                  <c:v>1.6E-2</c:v>
                </c:pt>
                <c:pt idx="4">
                  <c:v>0</c:v>
                </c:pt>
              </c:numCache>
            </c:numRef>
          </c:val>
        </c:ser>
        <c:ser>
          <c:idx val="1"/>
          <c:order val="1"/>
          <c:tx>
            <c:strRef>
              <c:f>Sheet1!$C$1</c:f>
              <c:strCache>
                <c:ptCount val="1"/>
                <c:pt idx="0">
                  <c:v>Faculty Practice</c:v>
                </c:pt>
              </c:strCache>
            </c:strRef>
          </c:tx>
          <c:spPr>
            <a:solidFill>
              <a:schemeClr val="accent6"/>
            </a:solidFill>
            <a:ln>
              <a:solidFill>
                <a:schemeClr val="accent6"/>
              </a:solidFill>
            </a:ln>
          </c:spPr>
          <c:invertIfNegative val="0"/>
          <c:cat>
            <c:strRef>
              <c:f>Sheet1!$A$2:$A$6</c:f>
              <c:strCache>
                <c:ptCount val="5"/>
                <c:pt idx="0">
                  <c:v>Excellent</c:v>
                </c:pt>
                <c:pt idx="1">
                  <c:v>Very Good</c:v>
                </c:pt>
                <c:pt idx="2">
                  <c:v>Good</c:v>
                </c:pt>
                <c:pt idx="3">
                  <c:v>Fair</c:v>
                </c:pt>
                <c:pt idx="4">
                  <c:v>Poor</c:v>
                </c:pt>
              </c:strCache>
            </c:strRef>
          </c:cat>
          <c:val>
            <c:numRef>
              <c:f>Sheet1!$C$2:$C$6</c:f>
              <c:numCache>
                <c:formatCode>0.0%</c:formatCode>
                <c:ptCount val="5"/>
                <c:pt idx="0">
                  <c:v>0.60899999999999999</c:v>
                </c:pt>
                <c:pt idx="1">
                  <c:v>0.26100000000000001</c:v>
                </c:pt>
                <c:pt idx="2">
                  <c:v>0.13</c:v>
                </c:pt>
                <c:pt idx="3">
                  <c:v>0</c:v>
                </c:pt>
                <c:pt idx="4">
                  <c:v>0</c:v>
                </c:pt>
              </c:numCache>
            </c:numRef>
          </c:val>
        </c:ser>
        <c:ser>
          <c:idx val="2"/>
          <c:order val="2"/>
          <c:tx>
            <c:strRef>
              <c:f>Sheet1!$D$1</c:f>
              <c:strCache>
                <c:ptCount val="1"/>
                <c:pt idx="0">
                  <c:v>Graduate Endodontics</c:v>
                </c:pt>
              </c:strCache>
            </c:strRef>
          </c:tx>
          <c:invertIfNegative val="0"/>
          <c:cat>
            <c:strRef>
              <c:f>Sheet1!$A$2:$A$6</c:f>
              <c:strCache>
                <c:ptCount val="5"/>
                <c:pt idx="0">
                  <c:v>Excellent</c:v>
                </c:pt>
                <c:pt idx="1">
                  <c:v>Very Good</c:v>
                </c:pt>
                <c:pt idx="2">
                  <c:v>Good</c:v>
                </c:pt>
                <c:pt idx="3">
                  <c:v>Fair</c:v>
                </c:pt>
                <c:pt idx="4">
                  <c:v>Poor</c:v>
                </c:pt>
              </c:strCache>
            </c:strRef>
          </c:cat>
          <c:val>
            <c:numRef>
              <c:f>Sheet1!$D$2:$D$6</c:f>
              <c:numCache>
                <c:formatCode>0.0%</c:formatCode>
                <c:ptCount val="5"/>
                <c:pt idx="0">
                  <c:v>0.49099999999999999</c:v>
                </c:pt>
                <c:pt idx="1">
                  <c:v>0.436</c:v>
                </c:pt>
                <c:pt idx="2">
                  <c:v>7.2999999999999995E-2</c:v>
                </c:pt>
                <c:pt idx="3">
                  <c:v>0</c:v>
                </c:pt>
                <c:pt idx="4">
                  <c:v>0</c:v>
                </c:pt>
              </c:numCache>
            </c:numRef>
          </c:val>
        </c:ser>
        <c:ser>
          <c:idx val="3"/>
          <c:order val="3"/>
          <c:tx>
            <c:strRef>
              <c:f>Sheet1!$E$1</c:f>
              <c:strCache>
                <c:ptCount val="1"/>
                <c:pt idx="0">
                  <c:v>Grad Periodontics</c:v>
                </c:pt>
              </c:strCache>
            </c:strRef>
          </c:tx>
          <c:spPr>
            <a:solidFill>
              <a:schemeClr val="tx2"/>
            </a:solidFill>
            <a:ln>
              <a:solidFill>
                <a:schemeClr val="tx2"/>
              </a:solidFill>
            </a:ln>
          </c:spPr>
          <c:invertIfNegative val="0"/>
          <c:cat>
            <c:strRef>
              <c:f>Sheet1!$A$2:$A$6</c:f>
              <c:strCache>
                <c:ptCount val="5"/>
                <c:pt idx="0">
                  <c:v>Excellent</c:v>
                </c:pt>
                <c:pt idx="1">
                  <c:v>Very Good</c:v>
                </c:pt>
                <c:pt idx="2">
                  <c:v>Good</c:v>
                </c:pt>
                <c:pt idx="3">
                  <c:v>Fair</c:v>
                </c:pt>
                <c:pt idx="4">
                  <c:v>Poor</c:v>
                </c:pt>
              </c:strCache>
            </c:strRef>
          </c:cat>
          <c:val>
            <c:numRef>
              <c:f>Sheet1!$E$2:$E$6</c:f>
              <c:numCache>
                <c:formatCode>0.0%</c:formatCode>
                <c:ptCount val="5"/>
                <c:pt idx="0">
                  <c:v>0.72399999999999998</c:v>
                </c:pt>
                <c:pt idx="1">
                  <c:v>0.17199999999999999</c:v>
                </c:pt>
                <c:pt idx="2">
                  <c:v>0.10299999999999999</c:v>
                </c:pt>
                <c:pt idx="3">
                  <c:v>0</c:v>
                </c:pt>
                <c:pt idx="4">
                  <c:v>0</c:v>
                </c:pt>
              </c:numCache>
            </c:numRef>
          </c:val>
        </c:ser>
        <c:ser>
          <c:idx val="4"/>
          <c:order val="4"/>
          <c:tx>
            <c:strRef>
              <c:f>Sheet1!$F$1</c:f>
              <c:strCache>
                <c:ptCount val="1"/>
                <c:pt idx="0">
                  <c:v>Grad Prosthodontics</c:v>
                </c:pt>
              </c:strCache>
            </c:strRef>
          </c:tx>
          <c:spPr>
            <a:solidFill>
              <a:schemeClr val="accent1">
                <a:lumMod val="20000"/>
                <a:lumOff val="80000"/>
              </a:schemeClr>
            </a:solidFill>
            <a:ln>
              <a:solidFill>
                <a:schemeClr val="accent1">
                  <a:lumMod val="20000"/>
                  <a:lumOff val="80000"/>
                </a:schemeClr>
              </a:solidFill>
            </a:ln>
          </c:spPr>
          <c:invertIfNegative val="0"/>
          <c:cat>
            <c:strRef>
              <c:f>Sheet1!$A$2:$A$6</c:f>
              <c:strCache>
                <c:ptCount val="5"/>
                <c:pt idx="0">
                  <c:v>Excellent</c:v>
                </c:pt>
                <c:pt idx="1">
                  <c:v>Very Good</c:v>
                </c:pt>
                <c:pt idx="2">
                  <c:v>Good</c:v>
                </c:pt>
                <c:pt idx="3">
                  <c:v>Fair</c:v>
                </c:pt>
                <c:pt idx="4">
                  <c:v>Poor</c:v>
                </c:pt>
              </c:strCache>
            </c:strRef>
          </c:cat>
          <c:val>
            <c:numRef>
              <c:f>Sheet1!$F$2:$F$6</c:f>
              <c:numCache>
                <c:formatCode>0.0%</c:formatCode>
                <c:ptCount val="5"/>
                <c:pt idx="0">
                  <c:v>0.61499999999999999</c:v>
                </c:pt>
                <c:pt idx="1">
                  <c:v>0.33300000000000002</c:v>
                </c:pt>
                <c:pt idx="2">
                  <c:v>5.0999999999999997E-2</c:v>
                </c:pt>
                <c:pt idx="3">
                  <c:v>0</c:v>
                </c:pt>
                <c:pt idx="4">
                  <c:v>0</c:v>
                </c:pt>
              </c:numCache>
            </c:numRef>
          </c:val>
        </c:ser>
        <c:ser>
          <c:idx val="5"/>
          <c:order val="5"/>
          <c:tx>
            <c:strRef>
              <c:f>Sheet1!$G$1</c:f>
              <c:strCache>
                <c:ptCount val="1"/>
                <c:pt idx="0">
                  <c:v>Hialeah</c:v>
                </c:pt>
              </c:strCache>
            </c:strRef>
          </c:tx>
          <c:spPr>
            <a:solidFill>
              <a:schemeClr val="accent6">
                <a:lumMod val="60000"/>
                <a:lumOff val="40000"/>
              </a:schemeClr>
            </a:solidFill>
            <a:ln>
              <a:solidFill>
                <a:schemeClr val="accent6">
                  <a:lumMod val="60000"/>
                  <a:lumOff val="40000"/>
                </a:schemeClr>
              </a:solidFill>
            </a:ln>
          </c:spPr>
          <c:invertIfNegative val="0"/>
          <c:cat>
            <c:strRef>
              <c:f>Sheet1!$A$2:$A$6</c:f>
              <c:strCache>
                <c:ptCount val="5"/>
                <c:pt idx="0">
                  <c:v>Excellent</c:v>
                </c:pt>
                <c:pt idx="1">
                  <c:v>Very Good</c:v>
                </c:pt>
                <c:pt idx="2">
                  <c:v>Good</c:v>
                </c:pt>
                <c:pt idx="3">
                  <c:v>Fair</c:v>
                </c:pt>
                <c:pt idx="4">
                  <c:v>Poor</c:v>
                </c:pt>
              </c:strCache>
            </c:strRef>
          </c:cat>
          <c:val>
            <c:numRef>
              <c:f>Sheet1!$G$2:$G$6</c:f>
              <c:numCache>
                <c:formatCode>0.0%</c:formatCode>
                <c:ptCount val="5"/>
                <c:pt idx="0">
                  <c:v>0.40799999999999997</c:v>
                </c:pt>
                <c:pt idx="1">
                  <c:v>0.38200000000000001</c:v>
                </c:pt>
                <c:pt idx="2">
                  <c:v>0.17100000000000001</c:v>
                </c:pt>
                <c:pt idx="3">
                  <c:v>3.9E-2</c:v>
                </c:pt>
                <c:pt idx="4">
                  <c:v>0</c:v>
                </c:pt>
              </c:numCache>
            </c:numRef>
          </c:val>
        </c:ser>
        <c:ser>
          <c:idx val="6"/>
          <c:order val="6"/>
          <c:tx>
            <c:strRef>
              <c:f>Sheet1!$H$1</c:f>
              <c:strCache>
                <c:ptCount val="1"/>
                <c:pt idx="0">
                  <c:v>Oral Medicine</c:v>
                </c:pt>
              </c:strCache>
            </c:strRef>
          </c:tx>
          <c:spPr>
            <a:solidFill>
              <a:schemeClr val="accent3">
                <a:lumMod val="50000"/>
              </a:schemeClr>
            </a:solidFill>
            <a:ln>
              <a:solidFill>
                <a:schemeClr val="accent3">
                  <a:lumMod val="50000"/>
                </a:schemeClr>
              </a:solidFill>
            </a:ln>
          </c:spPr>
          <c:invertIfNegative val="0"/>
          <c:cat>
            <c:strRef>
              <c:f>Sheet1!$A$2:$A$6</c:f>
              <c:strCache>
                <c:ptCount val="5"/>
                <c:pt idx="0">
                  <c:v>Excellent</c:v>
                </c:pt>
                <c:pt idx="1">
                  <c:v>Very Good</c:v>
                </c:pt>
                <c:pt idx="2">
                  <c:v>Good</c:v>
                </c:pt>
                <c:pt idx="3">
                  <c:v>Fair</c:v>
                </c:pt>
                <c:pt idx="4">
                  <c:v>Poor</c:v>
                </c:pt>
              </c:strCache>
            </c:strRef>
          </c:cat>
          <c:val>
            <c:numRef>
              <c:f>Sheet1!$H$2:$H$6</c:f>
              <c:numCache>
                <c:formatCode>0.0%</c:formatCode>
                <c:ptCount val="5"/>
                <c:pt idx="0">
                  <c:v>0.33300000000000002</c:v>
                </c:pt>
                <c:pt idx="1">
                  <c:v>0.38900000000000001</c:v>
                </c:pt>
                <c:pt idx="2">
                  <c:v>0.27800000000000002</c:v>
                </c:pt>
                <c:pt idx="3">
                  <c:v>0</c:v>
                </c:pt>
                <c:pt idx="4">
                  <c:v>0</c:v>
                </c:pt>
              </c:numCache>
            </c:numRef>
          </c:val>
        </c:ser>
        <c:ser>
          <c:idx val="7"/>
          <c:order val="7"/>
          <c:tx>
            <c:strRef>
              <c:f>Sheet1!$I$1</c:f>
              <c:strCache>
                <c:ptCount val="1"/>
                <c:pt idx="0">
                  <c:v>Orthodontics</c:v>
                </c:pt>
              </c:strCache>
            </c:strRef>
          </c:tx>
          <c:spPr>
            <a:solidFill>
              <a:srgbClr val="0070C0"/>
            </a:solidFill>
            <a:ln>
              <a:solidFill>
                <a:srgbClr val="0070C0"/>
              </a:solidFill>
            </a:ln>
          </c:spPr>
          <c:invertIfNegative val="0"/>
          <c:cat>
            <c:strRef>
              <c:f>Sheet1!$A$2:$A$6</c:f>
              <c:strCache>
                <c:ptCount val="5"/>
                <c:pt idx="0">
                  <c:v>Excellent</c:v>
                </c:pt>
                <c:pt idx="1">
                  <c:v>Very Good</c:v>
                </c:pt>
                <c:pt idx="2">
                  <c:v>Good</c:v>
                </c:pt>
                <c:pt idx="3">
                  <c:v>Fair</c:v>
                </c:pt>
                <c:pt idx="4">
                  <c:v>Poor</c:v>
                </c:pt>
              </c:strCache>
            </c:strRef>
          </c:cat>
          <c:val>
            <c:numRef>
              <c:f>Sheet1!$I$2:$I$6</c:f>
              <c:numCache>
                <c:formatCode>0.0%</c:formatCode>
                <c:ptCount val="5"/>
                <c:pt idx="0">
                  <c:v>0.64800000000000002</c:v>
                </c:pt>
                <c:pt idx="1">
                  <c:v>0.27800000000000002</c:v>
                </c:pt>
                <c:pt idx="2">
                  <c:v>7.3999999999999996E-2</c:v>
                </c:pt>
                <c:pt idx="3">
                  <c:v>0</c:v>
                </c:pt>
                <c:pt idx="4">
                  <c:v>0</c:v>
                </c:pt>
              </c:numCache>
            </c:numRef>
          </c:val>
        </c:ser>
        <c:ser>
          <c:idx val="8"/>
          <c:order val="8"/>
          <c:tx>
            <c:strRef>
              <c:f>Sheet1!$J$1</c:f>
              <c:strCache>
                <c:ptCount val="1"/>
                <c:pt idx="0">
                  <c:v>Oral Surgery</c:v>
                </c:pt>
              </c:strCache>
            </c:strRef>
          </c:tx>
          <c:invertIfNegative val="0"/>
          <c:cat>
            <c:strRef>
              <c:f>Sheet1!$A$2:$A$6</c:f>
              <c:strCache>
                <c:ptCount val="5"/>
                <c:pt idx="0">
                  <c:v>Excellent</c:v>
                </c:pt>
                <c:pt idx="1">
                  <c:v>Very Good</c:v>
                </c:pt>
                <c:pt idx="2">
                  <c:v>Good</c:v>
                </c:pt>
                <c:pt idx="3">
                  <c:v>Fair</c:v>
                </c:pt>
                <c:pt idx="4">
                  <c:v>Poor</c:v>
                </c:pt>
              </c:strCache>
            </c:strRef>
          </c:cat>
          <c:val>
            <c:numRef>
              <c:f>Sheet1!$J$2:$J$6</c:f>
              <c:numCache>
                <c:formatCode>0.0%</c:formatCode>
                <c:ptCount val="5"/>
                <c:pt idx="0">
                  <c:v>0.36899999999999999</c:v>
                </c:pt>
                <c:pt idx="1">
                  <c:v>0.41499999999999998</c:v>
                </c:pt>
                <c:pt idx="2">
                  <c:v>0.2</c:v>
                </c:pt>
                <c:pt idx="3">
                  <c:v>0</c:v>
                </c:pt>
                <c:pt idx="4">
                  <c:v>1.4999999999999999E-2</c:v>
                </c:pt>
              </c:numCache>
            </c:numRef>
          </c:val>
        </c:ser>
        <c:ser>
          <c:idx val="9"/>
          <c:order val="9"/>
          <c:tx>
            <c:strRef>
              <c:f>Sheet1!$K$1</c:f>
              <c:strCache>
                <c:ptCount val="1"/>
                <c:pt idx="0">
                  <c:v>Pediatrics</c:v>
                </c:pt>
              </c:strCache>
            </c:strRef>
          </c:tx>
          <c:invertIfNegative val="0"/>
          <c:cat>
            <c:strRef>
              <c:f>Sheet1!$A$2:$A$6</c:f>
              <c:strCache>
                <c:ptCount val="5"/>
                <c:pt idx="0">
                  <c:v>Excellent</c:v>
                </c:pt>
                <c:pt idx="1">
                  <c:v>Very Good</c:v>
                </c:pt>
                <c:pt idx="2">
                  <c:v>Good</c:v>
                </c:pt>
                <c:pt idx="3">
                  <c:v>Fair</c:v>
                </c:pt>
                <c:pt idx="4">
                  <c:v>Poor</c:v>
                </c:pt>
              </c:strCache>
            </c:strRef>
          </c:cat>
          <c:val>
            <c:numRef>
              <c:f>Sheet1!$K$2:$K$6</c:f>
              <c:numCache>
                <c:formatCode>0.0%</c:formatCode>
                <c:ptCount val="5"/>
                <c:pt idx="0">
                  <c:v>0.44400000000000001</c:v>
                </c:pt>
                <c:pt idx="1">
                  <c:v>0.38900000000000001</c:v>
                </c:pt>
                <c:pt idx="2">
                  <c:v>0.16700000000000001</c:v>
                </c:pt>
                <c:pt idx="3">
                  <c:v>0</c:v>
                </c:pt>
                <c:pt idx="4">
                  <c:v>0</c:v>
                </c:pt>
              </c:numCache>
            </c:numRef>
          </c:val>
        </c:ser>
        <c:ser>
          <c:idx val="10"/>
          <c:order val="10"/>
          <c:tx>
            <c:strRef>
              <c:f>Sheet1!$L$1</c:f>
              <c:strCache>
                <c:ptCount val="1"/>
                <c:pt idx="0">
                  <c:v>St. Pete</c:v>
                </c:pt>
              </c:strCache>
            </c:strRef>
          </c:tx>
          <c:invertIfNegative val="0"/>
          <c:cat>
            <c:strRef>
              <c:f>Sheet1!$A$2:$A$6</c:f>
              <c:strCache>
                <c:ptCount val="5"/>
                <c:pt idx="0">
                  <c:v>Excellent</c:v>
                </c:pt>
                <c:pt idx="1">
                  <c:v>Very Good</c:v>
                </c:pt>
                <c:pt idx="2">
                  <c:v>Good</c:v>
                </c:pt>
                <c:pt idx="3">
                  <c:v>Fair</c:v>
                </c:pt>
                <c:pt idx="4">
                  <c:v>Poor</c:v>
                </c:pt>
              </c:strCache>
            </c:strRef>
          </c:cat>
          <c:val>
            <c:numRef>
              <c:f>Sheet1!$L$2:$L$6</c:f>
              <c:numCache>
                <c:formatCode>0.0%</c:formatCode>
                <c:ptCount val="5"/>
                <c:pt idx="0">
                  <c:v>0.44900000000000001</c:v>
                </c:pt>
                <c:pt idx="1">
                  <c:v>0.42899999999999999</c:v>
                </c:pt>
                <c:pt idx="2">
                  <c:v>0.122</c:v>
                </c:pt>
                <c:pt idx="3">
                  <c:v>0</c:v>
                </c:pt>
                <c:pt idx="4">
                  <c:v>0</c:v>
                </c:pt>
              </c:numCache>
            </c:numRef>
          </c:val>
        </c:ser>
        <c:dLbls>
          <c:showLegendKey val="0"/>
          <c:showVal val="0"/>
          <c:showCatName val="0"/>
          <c:showSerName val="0"/>
          <c:showPercent val="0"/>
          <c:showBubbleSize val="0"/>
        </c:dLbls>
        <c:gapWidth val="150"/>
        <c:axId val="116574848"/>
        <c:axId val="116732288"/>
      </c:barChart>
      <c:catAx>
        <c:axId val="116574848"/>
        <c:scaling>
          <c:orientation val="minMax"/>
        </c:scaling>
        <c:delete val="0"/>
        <c:axPos val="b"/>
        <c:majorTickMark val="out"/>
        <c:minorTickMark val="none"/>
        <c:tickLblPos val="nextTo"/>
        <c:crossAx val="116732288"/>
        <c:crosses val="autoZero"/>
        <c:auto val="1"/>
        <c:lblAlgn val="ctr"/>
        <c:lblOffset val="100"/>
        <c:noMultiLvlLbl val="0"/>
      </c:catAx>
      <c:valAx>
        <c:axId val="116732288"/>
        <c:scaling>
          <c:orientation val="minMax"/>
        </c:scaling>
        <c:delete val="0"/>
        <c:axPos val="l"/>
        <c:majorGridlines/>
        <c:numFmt formatCode="0.0%" sourceLinked="1"/>
        <c:majorTickMark val="out"/>
        <c:minorTickMark val="none"/>
        <c:tickLblPos val="nextTo"/>
        <c:crossAx val="116574848"/>
        <c:crosses val="autoZero"/>
        <c:crossBetween val="between"/>
      </c:valAx>
    </c:plotArea>
    <c:legend>
      <c:legendPos val="r"/>
      <c:layout>
        <c:manualLayout>
          <c:xMode val="edge"/>
          <c:yMode val="edge"/>
          <c:x val="0.83641748933632398"/>
          <c:y val="0.11811676873724122"/>
          <c:w val="0.16358251066367568"/>
          <c:h val="0.58936902887139109"/>
        </c:manualLayout>
      </c:layout>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Average Rating of Appearance of Reception</a:t>
            </a:r>
            <a:r>
              <a:rPr lang="en-US" baseline="0"/>
              <a:t> Area</a:t>
            </a:r>
            <a:endParaRPr lang="en-US"/>
          </a:p>
        </c:rich>
      </c:tx>
      <c:layout/>
      <c:overlay val="0"/>
    </c:title>
    <c:autoTitleDeleted val="0"/>
    <c:plotArea>
      <c:layout/>
      <c:lineChart>
        <c:grouping val="standard"/>
        <c:varyColors val="0"/>
        <c:ser>
          <c:idx val="0"/>
          <c:order val="0"/>
          <c:tx>
            <c:strRef>
              <c:f>Sheet1!$B$1</c:f>
              <c:strCache>
                <c:ptCount val="1"/>
                <c:pt idx="0">
                  <c:v>Column1</c:v>
                </c:pt>
              </c:strCache>
            </c:strRef>
          </c:tx>
          <c:marker>
            <c:symbol val="none"/>
          </c:marker>
          <c:dLbls>
            <c:dLbl>
              <c:idx val="1"/>
              <c:layout>
                <c:manualLayout>
                  <c:x val="-2.7865993285135386E-2"/>
                  <c:y val="-4.6572725047113142E-2"/>
                </c:manualLayout>
              </c:layout>
              <c:dLblPos val="r"/>
              <c:showLegendKey val="0"/>
              <c:showVal val="1"/>
              <c:showCatName val="0"/>
              <c:showSerName val="0"/>
              <c:showPercent val="0"/>
              <c:showBubbleSize val="0"/>
            </c:dLbl>
            <c:dLbl>
              <c:idx val="3"/>
              <c:layout>
                <c:manualLayout>
                  <c:x val="-3.2679471022800853E-2"/>
                  <c:y val="-4.078819865521148E-2"/>
                </c:manualLayout>
              </c:layout>
              <c:dLblPos val="r"/>
              <c:showLegendKey val="0"/>
              <c:showVal val="1"/>
              <c:showCatName val="0"/>
              <c:showSerName val="0"/>
              <c:showPercent val="0"/>
              <c:showBubbleSize val="0"/>
            </c:dLbl>
            <c:dLbl>
              <c:idx val="5"/>
              <c:layout>
                <c:manualLayout>
                  <c:x val="-2.7865993285135386E-2"/>
                  <c:y val="3.1518381243559303E-2"/>
                </c:manualLayout>
              </c:layout>
              <c:dLblPos val="r"/>
              <c:showLegendKey val="0"/>
              <c:showVal val="1"/>
              <c:showCatName val="0"/>
              <c:showSerName val="0"/>
              <c:showPercent val="0"/>
              <c:showBubbleSize val="0"/>
            </c:dLbl>
            <c:dLbl>
              <c:idx val="6"/>
              <c:layout>
                <c:manualLayout>
                  <c:x val="-2.7865993285135386E-2"/>
                  <c:y val="3.730290763546102E-2"/>
                </c:manualLayout>
              </c:layout>
              <c:dLblPos val="r"/>
              <c:showLegendKey val="0"/>
              <c:showVal val="1"/>
              <c:showCatName val="0"/>
              <c:showSerName val="0"/>
              <c:showPercent val="0"/>
              <c:showBubbleSize val="0"/>
            </c:dLbl>
            <c:dLbl>
              <c:idx val="8"/>
              <c:layout>
                <c:manualLayout>
                  <c:x val="-2.7865993285135445E-2"/>
                  <c:y val="3.1518381243559303E-2"/>
                </c:manualLayout>
              </c:layout>
              <c:dLblPos val="r"/>
              <c:showLegendKey val="0"/>
              <c:showVal val="1"/>
              <c:showCatName val="0"/>
              <c:showSerName val="0"/>
              <c:showPercent val="0"/>
              <c:showBubbleSize val="0"/>
            </c:dLbl>
            <c:dLbl>
              <c:idx val="9"/>
              <c:layout>
                <c:manualLayout>
                  <c:x val="-2.1448022968248104E-2"/>
                  <c:y val="2.284159165570681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Sheet1!$A$2:$A$12</c:f>
              <c:strCache>
                <c:ptCount val="11"/>
                <c:pt idx="0">
                  <c:v>Student
Clinics</c:v>
                </c:pt>
                <c:pt idx="1">
                  <c:v>FP</c:v>
                </c:pt>
                <c:pt idx="2">
                  <c:v>GE</c:v>
                </c:pt>
                <c:pt idx="3">
                  <c:v>GPE</c:v>
                </c:pt>
                <c:pt idx="4">
                  <c:v>GPR</c:v>
                </c:pt>
                <c:pt idx="5">
                  <c:v>Hialeah</c:v>
                </c:pt>
                <c:pt idx="6">
                  <c:v>OM</c:v>
                </c:pt>
                <c:pt idx="7">
                  <c:v>OR</c:v>
                </c:pt>
                <c:pt idx="8">
                  <c:v>OS</c:v>
                </c:pt>
                <c:pt idx="9">
                  <c:v>PD</c:v>
                </c:pt>
                <c:pt idx="10">
                  <c:v>SP</c:v>
                </c:pt>
              </c:strCache>
            </c:strRef>
          </c:cat>
          <c:val>
            <c:numRef>
              <c:f>Sheet1!$B$2:$B$12</c:f>
              <c:numCache>
                <c:formatCode>0.00</c:formatCode>
                <c:ptCount val="11"/>
                <c:pt idx="0">
                  <c:v>4.43</c:v>
                </c:pt>
                <c:pt idx="1">
                  <c:v>4.4800000000000004</c:v>
                </c:pt>
                <c:pt idx="2">
                  <c:v>4.42</c:v>
                </c:pt>
                <c:pt idx="3">
                  <c:v>4.62</c:v>
                </c:pt>
                <c:pt idx="4">
                  <c:v>4.5599999999999996</c:v>
                </c:pt>
                <c:pt idx="5">
                  <c:v>4.16</c:v>
                </c:pt>
                <c:pt idx="6">
                  <c:v>4.0599999999999996</c:v>
                </c:pt>
                <c:pt idx="7">
                  <c:v>4.57</c:v>
                </c:pt>
                <c:pt idx="8">
                  <c:v>4.12</c:v>
                </c:pt>
                <c:pt idx="9">
                  <c:v>4.28</c:v>
                </c:pt>
                <c:pt idx="10">
                  <c:v>4.33</c:v>
                </c:pt>
              </c:numCache>
            </c:numRef>
          </c:val>
          <c:smooth val="0"/>
        </c:ser>
        <c:dLbls>
          <c:showLegendKey val="0"/>
          <c:showVal val="1"/>
          <c:showCatName val="0"/>
          <c:showSerName val="0"/>
          <c:showPercent val="0"/>
          <c:showBubbleSize val="0"/>
        </c:dLbls>
        <c:marker val="1"/>
        <c:smooth val="0"/>
        <c:axId val="116755840"/>
        <c:axId val="116783360"/>
      </c:lineChart>
      <c:catAx>
        <c:axId val="116755840"/>
        <c:scaling>
          <c:orientation val="minMax"/>
        </c:scaling>
        <c:delete val="0"/>
        <c:axPos val="b"/>
        <c:majorTickMark val="out"/>
        <c:minorTickMark val="none"/>
        <c:tickLblPos val="nextTo"/>
        <c:crossAx val="116783360"/>
        <c:crosses val="autoZero"/>
        <c:auto val="1"/>
        <c:lblAlgn val="ctr"/>
        <c:lblOffset val="100"/>
        <c:noMultiLvlLbl val="0"/>
      </c:catAx>
      <c:valAx>
        <c:axId val="116783360"/>
        <c:scaling>
          <c:orientation val="minMax"/>
          <c:max val="5"/>
          <c:min val="3"/>
        </c:scaling>
        <c:delete val="0"/>
        <c:axPos val="l"/>
        <c:majorGridlines/>
        <c:numFmt formatCode="0.00" sourceLinked="1"/>
        <c:majorTickMark val="out"/>
        <c:minorTickMark val="none"/>
        <c:tickLblPos val="nextTo"/>
        <c:crossAx val="116755840"/>
        <c:crosses val="autoZero"/>
        <c:crossBetween val="between"/>
        <c:majorUnit val="0.5"/>
      </c:valAx>
    </c:plotArea>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Cleanliness of Dental Centers</a:t>
            </a:r>
          </a:p>
        </c:rich>
      </c:tx>
      <c:layout/>
      <c:overlay val="0"/>
    </c:title>
    <c:autoTitleDeleted val="0"/>
    <c:plotArea>
      <c:layout/>
      <c:barChart>
        <c:barDir val="col"/>
        <c:grouping val="clustered"/>
        <c:varyColors val="0"/>
        <c:ser>
          <c:idx val="0"/>
          <c:order val="0"/>
          <c:tx>
            <c:strRef>
              <c:f>Sheet1!$B$1</c:f>
              <c:strCache>
                <c:ptCount val="1"/>
                <c:pt idx="0">
                  <c:v>Student Clinics</c:v>
                </c:pt>
              </c:strCache>
            </c:strRef>
          </c:tx>
          <c:invertIfNegative val="0"/>
          <c:cat>
            <c:strRef>
              <c:f>Sheet1!$A$2:$A$6</c:f>
              <c:strCache>
                <c:ptCount val="5"/>
                <c:pt idx="0">
                  <c:v>Excellent</c:v>
                </c:pt>
                <c:pt idx="1">
                  <c:v>Very Good</c:v>
                </c:pt>
                <c:pt idx="2">
                  <c:v>Good</c:v>
                </c:pt>
                <c:pt idx="3">
                  <c:v>Fair</c:v>
                </c:pt>
                <c:pt idx="4">
                  <c:v>Poor</c:v>
                </c:pt>
              </c:strCache>
            </c:strRef>
          </c:cat>
          <c:val>
            <c:numRef>
              <c:f>Sheet1!$B$2:$B$6</c:f>
              <c:numCache>
                <c:formatCode>0.0%</c:formatCode>
                <c:ptCount val="5"/>
                <c:pt idx="0">
                  <c:v>0.71</c:v>
                </c:pt>
                <c:pt idx="1">
                  <c:v>0.22600000000000001</c:v>
                </c:pt>
                <c:pt idx="2">
                  <c:v>1.7999999999999999E-2</c:v>
                </c:pt>
                <c:pt idx="3">
                  <c:v>5.0000000000000001E-3</c:v>
                </c:pt>
                <c:pt idx="4">
                  <c:v>1.0999999999999999E-2</c:v>
                </c:pt>
              </c:numCache>
            </c:numRef>
          </c:val>
        </c:ser>
        <c:ser>
          <c:idx val="1"/>
          <c:order val="1"/>
          <c:tx>
            <c:strRef>
              <c:f>Sheet1!$C$1</c:f>
              <c:strCache>
                <c:ptCount val="1"/>
                <c:pt idx="0">
                  <c:v>Faculty Practice</c:v>
                </c:pt>
              </c:strCache>
            </c:strRef>
          </c:tx>
          <c:spPr>
            <a:solidFill>
              <a:schemeClr val="accent6"/>
            </a:solidFill>
            <a:ln>
              <a:solidFill>
                <a:schemeClr val="accent6"/>
              </a:solidFill>
            </a:ln>
          </c:spPr>
          <c:invertIfNegative val="0"/>
          <c:cat>
            <c:strRef>
              <c:f>Sheet1!$A$2:$A$6</c:f>
              <c:strCache>
                <c:ptCount val="5"/>
                <c:pt idx="0">
                  <c:v>Excellent</c:v>
                </c:pt>
                <c:pt idx="1">
                  <c:v>Very Good</c:v>
                </c:pt>
                <c:pt idx="2">
                  <c:v>Good</c:v>
                </c:pt>
                <c:pt idx="3">
                  <c:v>Fair</c:v>
                </c:pt>
                <c:pt idx="4">
                  <c:v>Poor</c:v>
                </c:pt>
              </c:strCache>
            </c:strRef>
          </c:cat>
          <c:val>
            <c:numRef>
              <c:f>Sheet1!$C$2:$C$6</c:f>
              <c:numCache>
                <c:formatCode>0.0%</c:formatCode>
                <c:ptCount val="5"/>
                <c:pt idx="0">
                  <c:v>0.82599999999999996</c:v>
                </c:pt>
                <c:pt idx="1">
                  <c:v>0.13</c:v>
                </c:pt>
                <c:pt idx="2">
                  <c:v>4.2999999999999997E-2</c:v>
                </c:pt>
                <c:pt idx="3">
                  <c:v>0</c:v>
                </c:pt>
                <c:pt idx="4">
                  <c:v>0</c:v>
                </c:pt>
              </c:numCache>
            </c:numRef>
          </c:val>
        </c:ser>
        <c:ser>
          <c:idx val="2"/>
          <c:order val="2"/>
          <c:tx>
            <c:strRef>
              <c:f>Sheet1!$D$1</c:f>
              <c:strCache>
                <c:ptCount val="1"/>
                <c:pt idx="0">
                  <c:v>Graduate Endodontics</c:v>
                </c:pt>
              </c:strCache>
            </c:strRef>
          </c:tx>
          <c:invertIfNegative val="0"/>
          <c:cat>
            <c:strRef>
              <c:f>Sheet1!$A$2:$A$6</c:f>
              <c:strCache>
                <c:ptCount val="5"/>
                <c:pt idx="0">
                  <c:v>Excellent</c:v>
                </c:pt>
                <c:pt idx="1">
                  <c:v>Very Good</c:v>
                </c:pt>
                <c:pt idx="2">
                  <c:v>Good</c:v>
                </c:pt>
                <c:pt idx="3">
                  <c:v>Fair</c:v>
                </c:pt>
                <c:pt idx="4">
                  <c:v>Poor</c:v>
                </c:pt>
              </c:strCache>
            </c:strRef>
          </c:cat>
          <c:val>
            <c:numRef>
              <c:f>Sheet1!$D$2:$D$6</c:f>
              <c:numCache>
                <c:formatCode>0.0%</c:formatCode>
                <c:ptCount val="5"/>
                <c:pt idx="0">
                  <c:v>0.61799999999999999</c:v>
                </c:pt>
                <c:pt idx="1">
                  <c:v>0.309</c:v>
                </c:pt>
                <c:pt idx="2">
                  <c:v>5.5E-2</c:v>
                </c:pt>
                <c:pt idx="3">
                  <c:v>1.7999999999999999E-2</c:v>
                </c:pt>
                <c:pt idx="4">
                  <c:v>0</c:v>
                </c:pt>
              </c:numCache>
            </c:numRef>
          </c:val>
        </c:ser>
        <c:ser>
          <c:idx val="3"/>
          <c:order val="3"/>
          <c:tx>
            <c:strRef>
              <c:f>Sheet1!$E$1</c:f>
              <c:strCache>
                <c:ptCount val="1"/>
                <c:pt idx="0">
                  <c:v>Grad Periodontics</c:v>
                </c:pt>
              </c:strCache>
            </c:strRef>
          </c:tx>
          <c:spPr>
            <a:solidFill>
              <a:schemeClr val="tx2"/>
            </a:solidFill>
            <a:ln>
              <a:solidFill>
                <a:schemeClr val="tx2"/>
              </a:solidFill>
            </a:ln>
          </c:spPr>
          <c:invertIfNegative val="0"/>
          <c:cat>
            <c:strRef>
              <c:f>Sheet1!$A$2:$A$6</c:f>
              <c:strCache>
                <c:ptCount val="5"/>
                <c:pt idx="0">
                  <c:v>Excellent</c:v>
                </c:pt>
                <c:pt idx="1">
                  <c:v>Very Good</c:v>
                </c:pt>
                <c:pt idx="2">
                  <c:v>Good</c:v>
                </c:pt>
                <c:pt idx="3">
                  <c:v>Fair</c:v>
                </c:pt>
                <c:pt idx="4">
                  <c:v>Poor</c:v>
                </c:pt>
              </c:strCache>
            </c:strRef>
          </c:cat>
          <c:val>
            <c:numRef>
              <c:f>Sheet1!$E$2:$E$6</c:f>
              <c:numCache>
                <c:formatCode>0.0%</c:formatCode>
                <c:ptCount val="5"/>
                <c:pt idx="0">
                  <c:v>0.72399999999999998</c:v>
                </c:pt>
                <c:pt idx="1">
                  <c:v>0.24099999999999999</c:v>
                </c:pt>
                <c:pt idx="2">
                  <c:v>3.4000000000000002E-2</c:v>
                </c:pt>
                <c:pt idx="3">
                  <c:v>0</c:v>
                </c:pt>
                <c:pt idx="4">
                  <c:v>0</c:v>
                </c:pt>
              </c:numCache>
            </c:numRef>
          </c:val>
        </c:ser>
        <c:ser>
          <c:idx val="4"/>
          <c:order val="4"/>
          <c:tx>
            <c:strRef>
              <c:f>Sheet1!$F$1</c:f>
              <c:strCache>
                <c:ptCount val="1"/>
                <c:pt idx="0">
                  <c:v>Grad Prosthodontics</c:v>
                </c:pt>
              </c:strCache>
            </c:strRef>
          </c:tx>
          <c:spPr>
            <a:solidFill>
              <a:schemeClr val="accent1">
                <a:lumMod val="20000"/>
                <a:lumOff val="80000"/>
              </a:schemeClr>
            </a:solidFill>
            <a:ln>
              <a:solidFill>
                <a:schemeClr val="accent1">
                  <a:lumMod val="20000"/>
                  <a:lumOff val="80000"/>
                </a:schemeClr>
              </a:solidFill>
            </a:ln>
          </c:spPr>
          <c:invertIfNegative val="0"/>
          <c:cat>
            <c:strRef>
              <c:f>Sheet1!$A$2:$A$6</c:f>
              <c:strCache>
                <c:ptCount val="5"/>
                <c:pt idx="0">
                  <c:v>Excellent</c:v>
                </c:pt>
                <c:pt idx="1">
                  <c:v>Very Good</c:v>
                </c:pt>
                <c:pt idx="2">
                  <c:v>Good</c:v>
                </c:pt>
                <c:pt idx="3">
                  <c:v>Fair</c:v>
                </c:pt>
                <c:pt idx="4">
                  <c:v>Poor</c:v>
                </c:pt>
              </c:strCache>
            </c:strRef>
          </c:cat>
          <c:val>
            <c:numRef>
              <c:f>Sheet1!$F$2:$F$6</c:f>
              <c:numCache>
                <c:formatCode>0.0%</c:formatCode>
                <c:ptCount val="5"/>
                <c:pt idx="0">
                  <c:v>0.73699999999999999</c:v>
                </c:pt>
                <c:pt idx="1">
                  <c:v>0.26300000000000001</c:v>
                </c:pt>
                <c:pt idx="2">
                  <c:v>0</c:v>
                </c:pt>
                <c:pt idx="3">
                  <c:v>0</c:v>
                </c:pt>
                <c:pt idx="4">
                  <c:v>0</c:v>
                </c:pt>
              </c:numCache>
            </c:numRef>
          </c:val>
        </c:ser>
        <c:ser>
          <c:idx val="5"/>
          <c:order val="5"/>
          <c:tx>
            <c:strRef>
              <c:f>Sheet1!$G$1</c:f>
              <c:strCache>
                <c:ptCount val="1"/>
                <c:pt idx="0">
                  <c:v>Hialeah</c:v>
                </c:pt>
              </c:strCache>
            </c:strRef>
          </c:tx>
          <c:spPr>
            <a:solidFill>
              <a:schemeClr val="accent6">
                <a:lumMod val="60000"/>
                <a:lumOff val="40000"/>
              </a:schemeClr>
            </a:solidFill>
            <a:ln>
              <a:solidFill>
                <a:schemeClr val="accent6">
                  <a:lumMod val="60000"/>
                  <a:lumOff val="40000"/>
                </a:schemeClr>
              </a:solidFill>
            </a:ln>
          </c:spPr>
          <c:invertIfNegative val="0"/>
          <c:cat>
            <c:strRef>
              <c:f>Sheet1!$A$2:$A$6</c:f>
              <c:strCache>
                <c:ptCount val="5"/>
                <c:pt idx="0">
                  <c:v>Excellent</c:v>
                </c:pt>
                <c:pt idx="1">
                  <c:v>Very Good</c:v>
                </c:pt>
                <c:pt idx="2">
                  <c:v>Good</c:v>
                </c:pt>
                <c:pt idx="3">
                  <c:v>Fair</c:v>
                </c:pt>
                <c:pt idx="4">
                  <c:v>Poor</c:v>
                </c:pt>
              </c:strCache>
            </c:strRef>
          </c:cat>
          <c:val>
            <c:numRef>
              <c:f>Sheet1!$G$2:$G$6</c:f>
              <c:numCache>
                <c:formatCode>0.0%</c:formatCode>
                <c:ptCount val="5"/>
                <c:pt idx="0">
                  <c:v>0.46100000000000002</c:v>
                </c:pt>
                <c:pt idx="1">
                  <c:v>0.434</c:v>
                </c:pt>
                <c:pt idx="2">
                  <c:v>7.9000000000000001E-2</c:v>
                </c:pt>
                <c:pt idx="3">
                  <c:v>2.5999999999999999E-2</c:v>
                </c:pt>
                <c:pt idx="4">
                  <c:v>0</c:v>
                </c:pt>
              </c:numCache>
            </c:numRef>
          </c:val>
        </c:ser>
        <c:ser>
          <c:idx val="6"/>
          <c:order val="6"/>
          <c:tx>
            <c:strRef>
              <c:f>Sheet1!$H$1</c:f>
              <c:strCache>
                <c:ptCount val="1"/>
                <c:pt idx="0">
                  <c:v>Oral Medicine</c:v>
                </c:pt>
              </c:strCache>
            </c:strRef>
          </c:tx>
          <c:spPr>
            <a:solidFill>
              <a:schemeClr val="accent3">
                <a:lumMod val="50000"/>
              </a:schemeClr>
            </a:solidFill>
            <a:ln>
              <a:solidFill>
                <a:schemeClr val="accent3">
                  <a:lumMod val="50000"/>
                </a:schemeClr>
              </a:solidFill>
            </a:ln>
          </c:spPr>
          <c:invertIfNegative val="0"/>
          <c:cat>
            <c:strRef>
              <c:f>Sheet1!$A$2:$A$6</c:f>
              <c:strCache>
                <c:ptCount val="5"/>
                <c:pt idx="0">
                  <c:v>Excellent</c:v>
                </c:pt>
                <c:pt idx="1">
                  <c:v>Very Good</c:v>
                </c:pt>
                <c:pt idx="2">
                  <c:v>Good</c:v>
                </c:pt>
                <c:pt idx="3">
                  <c:v>Fair</c:v>
                </c:pt>
                <c:pt idx="4">
                  <c:v>Poor</c:v>
                </c:pt>
              </c:strCache>
            </c:strRef>
          </c:cat>
          <c:val>
            <c:numRef>
              <c:f>Sheet1!$H$2:$H$6</c:f>
              <c:numCache>
                <c:formatCode>0.0%</c:formatCode>
                <c:ptCount val="5"/>
                <c:pt idx="0">
                  <c:v>0.72199999999999998</c:v>
                </c:pt>
                <c:pt idx="1">
                  <c:v>0.222</c:v>
                </c:pt>
                <c:pt idx="2">
                  <c:v>5.6000000000000001E-2</c:v>
                </c:pt>
                <c:pt idx="3">
                  <c:v>0</c:v>
                </c:pt>
                <c:pt idx="4">
                  <c:v>0</c:v>
                </c:pt>
              </c:numCache>
            </c:numRef>
          </c:val>
        </c:ser>
        <c:ser>
          <c:idx val="7"/>
          <c:order val="7"/>
          <c:tx>
            <c:strRef>
              <c:f>Sheet1!$I$1</c:f>
              <c:strCache>
                <c:ptCount val="1"/>
                <c:pt idx="0">
                  <c:v>Orthodontics</c:v>
                </c:pt>
              </c:strCache>
            </c:strRef>
          </c:tx>
          <c:spPr>
            <a:solidFill>
              <a:srgbClr val="0070C0"/>
            </a:solidFill>
            <a:ln>
              <a:solidFill>
                <a:srgbClr val="0070C0"/>
              </a:solidFill>
            </a:ln>
          </c:spPr>
          <c:invertIfNegative val="0"/>
          <c:cat>
            <c:strRef>
              <c:f>Sheet1!$A$2:$A$6</c:f>
              <c:strCache>
                <c:ptCount val="5"/>
                <c:pt idx="0">
                  <c:v>Excellent</c:v>
                </c:pt>
                <c:pt idx="1">
                  <c:v>Very Good</c:v>
                </c:pt>
                <c:pt idx="2">
                  <c:v>Good</c:v>
                </c:pt>
                <c:pt idx="3">
                  <c:v>Fair</c:v>
                </c:pt>
                <c:pt idx="4">
                  <c:v>Poor</c:v>
                </c:pt>
              </c:strCache>
            </c:strRef>
          </c:cat>
          <c:val>
            <c:numRef>
              <c:f>Sheet1!$I$2:$I$6</c:f>
              <c:numCache>
                <c:formatCode>0.0%</c:formatCode>
                <c:ptCount val="5"/>
                <c:pt idx="0">
                  <c:v>0.72199999999999998</c:v>
                </c:pt>
                <c:pt idx="1">
                  <c:v>0.24099999999999999</c:v>
                </c:pt>
                <c:pt idx="2">
                  <c:v>3.6999999999999998E-2</c:v>
                </c:pt>
                <c:pt idx="3">
                  <c:v>0</c:v>
                </c:pt>
                <c:pt idx="4">
                  <c:v>0</c:v>
                </c:pt>
              </c:numCache>
            </c:numRef>
          </c:val>
        </c:ser>
        <c:ser>
          <c:idx val="8"/>
          <c:order val="8"/>
          <c:tx>
            <c:strRef>
              <c:f>Sheet1!$J$1</c:f>
              <c:strCache>
                <c:ptCount val="1"/>
                <c:pt idx="0">
                  <c:v>Oral Surgery</c:v>
                </c:pt>
              </c:strCache>
            </c:strRef>
          </c:tx>
          <c:invertIfNegative val="0"/>
          <c:cat>
            <c:strRef>
              <c:f>Sheet1!$A$2:$A$6</c:f>
              <c:strCache>
                <c:ptCount val="5"/>
                <c:pt idx="0">
                  <c:v>Excellent</c:v>
                </c:pt>
                <c:pt idx="1">
                  <c:v>Very Good</c:v>
                </c:pt>
                <c:pt idx="2">
                  <c:v>Good</c:v>
                </c:pt>
                <c:pt idx="3">
                  <c:v>Fair</c:v>
                </c:pt>
                <c:pt idx="4">
                  <c:v>Poor</c:v>
                </c:pt>
              </c:strCache>
            </c:strRef>
          </c:cat>
          <c:val>
            <c:numRef>
              <c:f>Sheet1!$J$2:$J$6</c:f>
              <c:numCache>
                <c:formatCode>0.0%</c:formatCode>
                <c:ptCount val="5"/>
                <c:pt idx="0">
                  <c:v>0.51600000000000001</c:v>
                </c:pt>
                <c:pt idx="1">
                  <c:v>0.32800000000000001</c:v>
                </c:pt>
                <c:pt idx="2">
                  <c:v>0.109</c:v>
                </c:pt>
                <c:pt idx="3">
                  <c:v>4.7E-2</c:v>
                </c:pt>
                <c:pt idx="4">
                  <c:v>0</c:v>
                </c:pt>
              </c:numCache>
            </c:numRef>
          </c:val>
        </c:ser>
        <c:ser>
          <c:idx val="9"/>
          <c:order val="9"/>
          <c:tx>
            <c:strRef>
              <c:f>Sheet1!$K$1</c:f>
              <c:strCache>
                <c:ptCount val="1"/>
                <c:pt idx="0">
                  <c:v>Pediatrics</c:v>
                </c:pt>
              </c:strCache>
            </c:strRef>
          </c:tx>
          <c:invertIfNegative val="0"/>
          <c:cat>
            <c:strRef>
              <c:f>Sheet1!$A$2:$A$6</c:f>
              <c:strCache>
                <c:ptCount val="5"/>
                <c:pt idx="0">
                  <c:v>Excellent</c:v>
                </c:pt>
                <c:pt idx="1">
                  <c:v>Very Good</c:v>
                </c:pt>
                <c:pt idx="2">
                  <c:v>Good</c:v>
                </c:pt>
                <c:pt idx="3">
                  <c:v>Fair</c:v>
                </c:pt>
                <c:pt idx="4">
                  <c:v>Poor</c:v>
                </c:pt>
              </c:strCache>
            </c:strRef>
          </c:cat>
          <c:val>
            <c:numRef>
              <c:f>Sheet1!$K$2:$K$6</c:f>
              <c:numCache>
                <c:formatCode>0.0%</c:formatCode>
                <c:ptCount val="5"/>
                <c:pt idx="0">
                  <c:v>0.58299999999999996</c:v>
                </c:pt>
                <c:pt idx="1">
                  <c:v>0.33300000000000002</c:v>
                </c:pt>
                <c:pt idx="2">
                  <c:v>8.3000000000000004E-2</c:v>
                </c:pt>
                <c:pt idx="3">
                  <c:v>0</c:v>
                </c:pt>
                <c:pt idx="4">
                  <c:v>0</c:v>
                </c:pt>
              </c:numCache>
            </c:numRef>
          </c:val>
        </c:ser>
        <c:ser>
          <c:idx val="10"/>
          <c:order val="10"/>
          <c:tx>
            <c:strRef>
              <c:f>Sheet1!$L$1</c:f>
              <c:strCache>
                <c:ptCount val="1"/>
                <c:pt idx="0">
                  <c:v>St. Pete</c:v>
                </c:pt>
              </c:strCache>
            </c:strRef>
          </c:tx>
          <c:invertIfNegative val="0"/>
          <c:cat>
            <c:strRef>
              <c:f>Sheet1!$A$2:$A$6</c:f>
              <c:strCache>
                <c:ptCount val="5"/>
                <c:pt idx="0">
                  <c:v>Excellent</c:v>
                </c:pt>
                <c:pt idx="1">
                  <c:v>Very Good</c:v>
                </c:pt>
                <c:pt idx="2">
                  <c:v>Good</c:v>
                </c:pt>
                <c:pt idx="3">
                  <c:v>Fair</c:v>
                </c:pt>
                <c:pt idx="4">
                  <c:v>Poor</c:v>
                </c:pt>
              </c:strCache>
            </c:strRef>
          </c:cat>
          <c:val>
            <c:numRef>
              <c:f>Sheet1!$L$2:$L$6</c:f>
              <c:numCache>
                <c:formatCode>0.0%</c:formatCode>
                <c:ptCount val="5"/>
                <c:pt idx="0">
                  <c:v>0.65300000000000002</c:v>
                </c:pt>
                <c:pt idx="1">
                  <c:v>0.30599999999999999</c:v>
                </c:pt>
                <c:pt idx="2">
                  <c:v>4.1000000000000002E-2</c:v>
                </c:pt>
                <c:pt idx="3">
                  <c:v>0</c:v>
                </c:pt>
                <c:pt idx="4">
                  <c:v>0</c:v>
                </c:pt>
              </c:numCache>
            </c:numRef>
          </c:val>
        </c:ser>
        <c:dLbls>
          <c:showLegendKey val="0"/>
          <c:showVal val="0"/>
          <c:showCatName val="0"/>
          <c:showSerName val="0"/>
          <c:showPercent val="0"/>
          <c:showBubbleSize val="0"/>
        </c:dLbls>
        <c:gapWidth val="150"/>
        <c:axId val="173234048"/>
        <c:axId val="173235584"/>
      </c:barChart>
      <c:catAx>
        <c:axId val="173234048"/>
        <c:scaling>
          <c:orientation val="minMax"/>
        </c:scaling>
        <c:delete val="0"/>
        <c:axPos val="b"/>
        <c:majorTickMark val="out"/>
        <c:minorTickMark val="none"/>
        <c:tickLblPos val="nextTo"/>
        <c:crossAx val="173235584"/>
        <c:crosses val="autoZero"/>
        <c:auto val="1"/>
        <c:lblAlgn val="ctr"/>
        <c:lblOffset val="100"/>
        <c:noMultiLvlLbl val="0"/>
      </c:catAx>
      <c:valAx>
        <c:axId val="173235584"/>
        <c:scaling>
          <c:orientation val="minMax"/>
        </c:scaling>
        <c:delete val="0"/>
        <c:axPos val="l"/>
        <c:majorGridlines/>
        <c:numFmt formatCode="0.0%" sourceLinked="1"/>
        <c:majorTickMark val="out"/>
        <c:minorTickMark val="none"/>
        <c:tickLblPos val="nextTo"/>
        <c:crossAx val="173234048"/>
        <c:crosses val="autoZero"/>
        <c:crossBetween val="between"/>
      </c:valAx>
    </c:plotArea>
    <c:legend>
      <c:legendPos val="r"/>
      <c:layout>
        <c:manualLayout>
          <c:xMode val="edge"/>
          <c:yMode val="edge"/>
          <c:x val="0.84328614724264406"/>
          <c:y val="0.13536238433771941"/>
          <c:w val="0.15671385275735561"/>
          <c:h val="0.58546592271992492"/>
        </c:manualLayout>
      </c:layout>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Average Rating of Cleanliness of Dental Centers</a:t>
            </a:r>
          </a:p>
        </c:rich>
      </c:tx>
      <c:layout/>
      <c:overlay val="0"/>
    </c:title>
    <c:autoTitleDeleted val="0"/>
    <c:plotArea>
      <c:layout/>
      <c:lineChart>
        <c:grouping val="standard"/>
        <c:varyColors val="0"/>
        <c:ser>
          <c:idx val="0"/>
          <c:order val="0"/>
          <c:tx>
            <c:strRef>
              <c:f>Sheet1!$B$1</c:f>
              <c:strCache>
                <c:ptCount val="1"/>
                <c:pt idx="0">
                  <c:v>Column1</c:v>
                </c:pt>
              </c:strCache>
            </c:strRef>
          </c:tx>
          <c:marker>
            <c:symbol val="none"/>
          </c:marker>
          <c:dLbls>
            <c:dLbl>
              <c:idx val="1"/>
              <c:layout>
                <c:manualLayout>
                  <c:x val="-2.8811857341361741E-2"/>
                  <c:y val="-3.5543376461202258E-2"/>
                </c:manualLayout>
              </c:layout>
              <c:dLblPos val="r"/>
              <c:showLegendKey val="0"/>
              <c:showVal val="1"/>
              <c:showCatName val="0"/>
              <c:showSerName val="0"/>
              <c:showPercent val="0"/>
              <c:showBubbleSize val="0"/>
            </c:dLbl>
            <c:dLbl>
              <c:idx val="2"/>
              <c:layout>
                <c:manualLayout>
                  <c:x val="-2.7243229890381356E-2"/>
                  <c:y val="2.9067489911778637E-2"/>
                </c:manualLayout>
              </c:layout>
              <c:dLblPos val="r"/>
              <c:showLegendKey val="0"/>
              <c:showVal val="1"/>
              <c:showCatName val="0"/>
              <c:showSerName val="0"/>
              <c:showPercent val="0"/>
              <c:showBubbleSize val="0"/>
            </c:dLbl>
            <c:dLbl>
              <c:idx val="3"/>
              <c:layout>
                <c:manualLayout>
                  <c:x val="-2.7243229890381356E-2"/>
                  <c:y val="-2.3795946211569417E-2"/>
                </c:manualLayout>
              </c:layout>
              <c:dLblPos val="r"/>
              <c:showLegendKey val="0"/>
              <c:showVal val="1"/>
              <c:showCatName val="0"/>
              <c:showSerName val="0"/>
              <c:showPercent val="0"/>
              <c:showBubbleSize val="0"/>
            </c:dLbl>
            <c:dLbl>
              <c:idx val="4"/>
              <c:layout>
                <c:manualLayout>
                  <c:x val="-2.096872008645978E-2"/>
                  <c:y val="-2.9669892585012778E-2"/>
                </c:manualLayout>
              </c:layout>
              <c:dLblPos val="r"/>
              <c:showLegendKey val="0"/>
              <c:showVal val="1"/>
              <c:showCatName val="0"/>
              <c:showSerName val="0"/>
              <c:showPercent val="0"/>
              <c:showBubbleSize val="0"/>
            </c:dLbl>
            <c:dLbl>
              <c:idx val="5"/>
              <c:layout>
                <c:manualLayout>
                  <c:x val="-2.7243229890381349E-2"/>
                  <c:y val="4.0814920161411541E-2"/>
                </c:manualLayout>
              </c:layout>
              <c:dLblPos val="r"/>
              <c:showLegendKey val="0"/>
              <c:showVal val="1"/>
              <c:showCatName val="0"/>
              <c:showSerName val="0"/>
              <c:showPercent val="0"/>
              <c:showBubbleSize val="0"/>
            </c:dLbl>
            <c:dLbl>
              <c:idx val="6"/>
              <c:layout>
                <c:manualLayout>
                  <c:x val="-2.7243229890381349E-2"/>
                  <c:y val="-3.260651889879404E-2"/>
                </c:manualLayout>
              </c:layout>
              <c:dLblPos val="r"/>
              <c:showLegendKey val="0"/>
              <c:showVal val="1"/>
              <c:showCatName val="0"/>
              <c:showSerName val="0"/>
              <c:showPercent val="0"/>
              <c:showBubbleSize val="0"/>
            </c:dLbl>
            <c:dLbl>
              <c:idx val="7"/>
              <c:layout>
                <c:manualLayout>
                  <c:x val="-2.4105974988420566E-2"/>
                  <c:y val="-2.6732803773977593E-2"/>
                </c:manualLayout>
              </c:layout>
              <c:dLblPos val="r"/>
              <c:showLegendKey val="0"/>
              <c:showVal val="1"/>
              <c:showCatName val="0"/>
              <c:showSerName val="0"/>
              <c:showPercent val="0"/>
              <c:showBubbleSize val="0"/>
            </c:dLbl>
            <c:dLbl>
              <c:idx val="8"/>
              <c:layout>
                <c:manualLayout>
                  <c:x val="-2.7243353404353868E-2"/>
                  <c:y val="2.9067258663151688E-2"/>
                </c:manualLayout>
              </c:layout>
              <c:dLblPos val="r"/>
              <c:showLegendKey val="0"/>
              <c:showVal val="1"/>
              <c:showCatName val="0"/>
              <c:showSerName val="0"/>
              <c:showPercent val="0"/>
              <c:showBubbleSize val="0"/>
            </c:dLbl>
            <c:dLbl>
              <c:idx val="9"/>
              <c:layout>
                <c:manualLayout>
                  <c:x val="-2.253747105141269E-2"/>
                  <c:y val="-3.260651889879404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Sheet1!$A$2:$A$12</c:f>
              <c:strCache>
                <c:ptCount val="11"/>
                <c:pt idx="0">
                  <c:v>Student
Clinics</c:v>
                </c:pt>
                <c:pt idx="1">
                  <c:v>FP</c:v>
                </c:pt>
                <c:pt idx="2">
                  <c:v>GE</c:v>
                </c:pt>
                <c:pt idx="3">
                  <c:v>GPE</c:v>
                </c:pt>
                <c:pt idx="4">
                  <c:v>GPR</c:v>
                </c:pt>
                <c:pt idx="5">
                  <c:v>Hialeah</c:v>
                </c:pt>
                <c:pt idx="6">
                  <c:v>OM</c:v>
                </c:pt>
                <c:pt idx="7">
                  <c:v>OR</c:v>
                </c:pt>
                <c:pt idx="8">
                  <c:v>OS</c:v>
                </c:pt>
                <c:pt idx="9">
                  <c:v>PD</c:v>
                </c:pt>
                <c:pt idx="10">
                  <c:v>SP</c:v>
                </c:pt>
              </c:strCache>
            </c:strRef>
          </c:cat>
          <c:val>
            <c:numRef>
              <c:f>Sheet1!$B$2:$B$12</c:f>
              <c:numCache>
                <c:formatCode>0.00</c:formatCode>
                <c:ptCount val="11"/>
                <c:pt idx="0">
                  <c:v>4.62</c:v>
                </c:pt>
                <c:pt idx="1">
                  <c:v>4.78</c:v>
                </c:pt>
                <c:pt idx="2">
                  <c:v>4.53</c:v>
                </c:pt>
                <c:pt idx="3">
                  <c:v>4.6900000000000004</c:v>
                </c:pt>
                <c:pt idx="4">
                  <c:v>4.74</c:v>
                </c:pt>
                <c:pt idx="5">
                  <c:v>4.33</c:v>
                </c:pt>
                <c:pt idx="6">
                  <c:v>4.67</c:v>
                </c:pt>
                <c:pt idx="7">
                  <c:v>4.6900000000000004</c:v>
                </c:pt>
                <c:pt idx="8">
                  <c:v>4.3099999999999996</c:v>
                </c:pt>
                <c:pt idx="9">
                  <c:v>4.5</c:v>
                </c:pt>
                <c:pt idx="10">
                  <c:v>4.6100000000000003</c:v>
                </c:pt>
              </c:numCache>
            </c:numRef>
          </c:val>
          <c:smooth val="0"/>
        </c:ser>
        <c:dLbls>
          <c:showLegendKey val="0"/>
          <c:showVal val="1"/>
          <c:showCatName val="0"/>
          <c:showSerName val="0"/>
          <c:showPercent val="0"/>
          <c:showBubbleSize val="0"/>
        </c:dLbls>
        <c:marker val="1"/>
        <c:smooth val="0"/>
        <c:axId val="173251200"/>
        <c:axId val="173258240"/>
      </c:lineChart>
      <c:catAx>
        <c:axId val="173251200"/>
        <c:scaling>
          <c:orientation val="minMax"/>
        </c:scaling>
        <c:delete val="0"/>
        <c:axPos val="b"/>
        <c:majorTickMark val="out"/>
        <c:minorTickMark val="none"/>
        <c:tickLblPos val="nextTo"/>
        <c:crossAx val="173258240"/>
        <c:crosses val="autoZero"/>
        <c:auto val="1"/>
        <c:lblAlgn val="ctr"/>
        <c:lblOffset val="100"/>
        <c:noMultiLvlLbl val="0"/>
      </c:catAx>
      <c:valAx>
        <c:axId val="173258240"/>
        <c:scaling>
          <c:orientation val="minMax"/>
          <c:max val="5"/>
          <c:min val="3"/>
        </c:scaling>
        <c:delete val="0"/>
        <c:axPos val="l"/>
        <c:majorGridlines/>
        <c:numFmt formatCode="0.00" sourceLinked="1"/>
        <c:majorTickMark val="out"/>
        <c:minorTickMark val="none"/>
        <c:tickLblPos val="nextTo"/>
        <c:crossAx val="173251200"/>
        <c:crosses val="autoZero"/>
        <c:crossBetween val="between"/>
        <c:majorUnit val="0.5"/>
      </c:valAx>
    </c:plotArea>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Response</a:t>
            </a:r>
            <a:r>
              <a:rPr lang="en-US" baseline="0"/>
              <a:t> survey numbers by Clinic</a:t>
            </a:r>
            <a:endParaRPr lang="en-US"/>
          </a:p>
        </c:rich>
      </c:tx>
      <c:layout/>
      <c:overlay val="0"/>
    </c:title>
    <c:autoTitleDeleted val="0"/>
    <c:plotArea>
      <c:layout/>
      <c:barChart>
        <c:barDir val="col"/>
        <c:grouping val="clustered"/>
        <c:varyColors val="0"/>
        <c:ser>
          <c:idx val="0"/>
          <c:order val="0"/>
          <c:tx>
            <c:strRef>
              <c:f>Sheet1!$B$1</c:f>
              <c:strCache>
                <c:ptCount val="1"/>
                <c:pt idx="0">
                  <c:v>2014</c:v>
                </c:pt>
              </c:strCache>
            </c:strRef>
          </c:tx>
          <c:invertIfNegative val="0"/>
          <c:dLbls>
            <c:dLbl>
              <c:idx val="1"/>
              <c:layout>
                <c:manualLayout>
                  <c:x val="0"/>
                  <c:y val="1.8264840182648401E-2"/>
                </c:manualLayout>
              </c:layout>
              <c:showLegendKey val="0"/>
              <c:showVal val="1"/>
              <c:showCatName val="0"/>
              <c:showSerName val="0"/>
              <c:showPercent val="0"/>
              <c:showBubbleSize val="0"/>
            </c:dLbl>
            <c:dLbl>
              <c:idx val="13"/>
              <c:layout>
                <c:manualLayout>
                  <c:x val="1.56128024980484E-3"/>
                  <c:y val="2.191780821917808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Sheet1!$A$2:$A$19</c:f>
              <c:strCache>
                <c:ptCount val="18"/>
                <c:pt idx="0">
                  <c:v>2A</c:v>
                </c:pt>
                <c:pt idx="1">
                  <c:v>2B</c:v>
                </c:pt>
                <c:pt idx="2">
                  <c:v>3A</c:v>
                </c:pt>
                <c:pt idx="3">
                  <c:v>3B</c:v>
                </c:pt>
                <c:pt idx="4">
                  <c:v>C</c:v>
                </c:pt>
                <c:pt idx="5">
                  <c:v>FP </c:v>
                </c:pt>
                <c:pt idx="6">
                  <c:v>GE</c:v>
                </c:pt>
                <c:pt idx="7">
                  <c:v>GPE</c:v>
                </c:pt>
                <c:pt idx="8">
                  <c:v>GPR</c:v>
                </c:pt>
                <c:pt idx="9">
                  <c:v>H</c:v>
                </c:pt>
                <c:pt idx="10">
                  <c:v>IC</c:v>
                </c:pt>
                <c:pt idx="11">
                  <c:v>OM</c:v>
                </c:pt>
                <c:pt idx="12">
                  <c:v>OR</c:v>
                </c:pt>
                <c:pt idx="13">
                  <c:v>OS</c:v>
                </c:pt>
                <c:pt idx="14">
                  <c:v>PD </c:v>
                </c:pt>
                <c:pt idx="15">
                  <c:v>RD</c:v>
                </c:pt>
                <c:pt idx="16">
                  <c:v>SOS</c:v>
                </c:pt>
                <c:pt idx="17">
                  <c:v>SP</c:v>
                </c:pt>
              </c:strCache>
            </c:strRef>
          </c:cat>
          <c:val>
            <c:numRef>
              <c:f>Sheet1!$B$2:$B$19</c:f>
              <c:numCache>
                <c:formatCode>General</c:formatCode>
                <c:ptCount val="18"/>
                <c:pt idx="0">
                  <c:v>100</c:v>
                </c:pt>
                <c:pt idx="1">
                  <c:v>149</c:v>
                </c:pt>
                <c:pt idx="2">
                  <c:v>100</c:v>
                </c:pt>
                <c:pt idx="3">
                  <c:v>112</c:v>
                </c:pt>
                <c:pt idx="4">
                  <c:v>6</c:v>
                </c:pt>
                <c:pt idx="5">
                  <c:v>23</c:v>
                </c:pt>
                <c:pt idx="6">
                  <c:v>58</c:v>
                </c:pt>
                <c:pt idx="7">
                  <c:v>32</c:v>
                </c:pt>
                <c:pt idx="8">
                  <c:v>42</c:v>
                </c:pt>
                <c:pt idx="9">
                  <c:v>80</c:v>
                </c:pt>
                <c:pt idx="10">
                  <c:v>35</c:v>
                </c:pt>
                <c:pt idx="11">
                  <c:v>19</c:v>
                </c:pt>
                <c:pt idx="12">
                  <c:v>56</c:v>
                </c:pt>
                <c:pt idx="13">
                  <c:v>9</c:v>
                </c:pt>
                <c:pt idx="14">
                  <c:v>37</c:v>
                </c:pt>
                <c:pt idx="15">
                  <c:v>3</c:v>
                </c:pt>
                <c:pt idx="16">
                  <c:v>28</c:v>
                </c:pt>
                <c:pt idx="17">
                  <c:v>49</c:v>
                </c:pt>
              </c:numCache>
            </c:numRef>
          </c:val>
        </c:ser>
        <c:dLbls>
          <c:showLegendKey val="0"/>
          <c:showVal val="1"/>
          <c:showCatName val="0"/>
          <c:showSerName val="0"/>
          <c:showPercent val="0"/>
          <c:showBubbleSize val="0"/>
        </c:dLbls>
        <c:gapWidth val="150"/>
        <c:axId val="116383104"/>
        <c:axId val="116617216"/>
      </c:barChart>
      <c:catAx>
        <c:axId val="116383104"/>
        <c:scaling>
          <c:orientation val="minMax"/>
        </c:scaling>
        <c:delete val="0"/>
        <c:axPos val="b"/>
        <c:numFmt formatCode="General" sourceLinked="1"/>
        <c:majorTickMark val="out"/>
        <c:minorTickMark val="none"/>
        <c:tickLblPos val="nextTo"/>
        <c:crossAx val="116617216"/>
        <c:crosses val="autoZero"/>
        <c:auto val="1"/>
        <c:lblAlgn val="ctr"/>
        <c:lblOffset val="100"/>
        <c:noMultiLvlLbl val="0"/>
      </c:catAx>
      <c:valAx>
        <c:axId val="116617216"/>
        <c:scaling>
          <c:orientation val="minMax"/>
        </c:scaling>
        <c:delete val="0"/>
        <c:axPos val="l"/>
        <c:majorGridlines/>
        <c:numFmt formatCode="General" sourceLinked="1"/>
        <c:majorTickMark val="out"/>
        <c:minorTickMark val="none"/>
        <c:tickLblPos val="nextTo"/>
        <c:crossAx val="116383104"/>
        <c:crosses val="autoZero"/>
        <c:crossBetween val="between"/>
      </c:valAx>
    </c:plotArea>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Cleanliness of Restrooms</a:t>
            </a:r>
          </a:p>
        </c:rich>
      </c:tx>
      <c:layout/>
      <c:overlay val="0"/>
    </c:title>
    <c:autoTitleDeleted val="0"/>
    <c:plotArea>
      <c:layout/>
      <c:barChart>
        <c:barDir val="col"/>
        <c:grouping val="clustered"/>
        <c:varyColors val="0"/>
        <c:ser>
          <c:idx val="0"/>
          <c:order val="0"/>
          <c:tx>
            <c:strRef>
              <c:f>Sheet1!$B$1</c:f>
              <c:strCache>
                <c:ptCount val="1"/>
                <c:pt idx="0">
                  <c:v>Student Clinics</c:v>
                </c:pt>
              </c:strCache>
            </c:strRef>
          </c:tx>
          <c:invertIfNegative val="0"/>
          <c:cat>
            <c:strRef>
              <c:f>Sheet1!$A$2:$A$6</c:f>
              <c:strCache>
                <c:ptCount val="5"/>
                <c:pt idx="0">
                  <c:v>Excellent</c:v>
                </c:pt>
                <c:pt idx="1">
                  <c:v>Very Good</c:v>
                </c:pt>
                <c:pt idx="2">
                  <c:v>Good</c:v>
                </c:pt>
                <c:pt idx="3">
                  <c:v>Fair</c:v>
                </c:pt>
                <c:pt idx="4">
                  <c:v>Poor</c:v>
                </c:pt>
              </c:strCache>
            </c:strRef>
          </c:cat>
          <c:val>
            <c:numRef>
              <c:f>Sheet1!$B$2:$B$6</c:f>
              <c:numCache>
                <c:formatCode>0.0%</c:formatCode>
                <c:ptCount val="5"/>
                <c:pt idx="0">
                  <c:v>0.434</c:v>
                </c:pt>
                <c:pt idx="1">
                  <c:v>0.36099999999999999</c:v>
                </c:pt>
                <c:pt idx="2">
                  <c:v>0.14499999999999999</c:v>
                </c:pt>
                <c:pt idx="3">
                  <c:v>4.8000000000000001E-2</c:v>
                </c:pt>
                <c:pt idx="4">
                  <c:v>1.0999999999999999E-2</c:v>
                </c:pt>
              </c:numCache>
            </c:numRef>
          </c:val>
        </c:ser>
        <c:ser>
          <c:idx val="1"/>
          <c:order val="1"/>
          <c:tx>
            <c:strRef>
              <c:f>Sheet1!$C$1</c:f>
              <c:strCache>
                <c:ptCount val="1"/>
                <c:pt idx="0">
                  <c:v>Faculty Practice</c:v>
                </c:pt>
              </c:strCache>
            </c:strRef>
          </c:tx>
          <c:spPr>
            <a:solidFill>
              <a:schemeClr val="accent6"/>
            </a:solidFill>
            <a:ln>
              <a:solidFill>
                <a:schemeClr val="accent6"/>
              </a:solidFill>
            </a:ln>
          </c:spPr>
          <c:invertIfNegative val="0"/>
          <c:cat>
            <c:strRef>
              <c:f>Sheet1!$A$2:$A$6</c:f>
              <c:strCache>
                <c:ptCount val="5"/>
                <c:pt idx="0">
                  <c:v>Excellent</c:v>
                </c:pt>
                <c:pt idx="1">
                  <c:v>Very Good</c:v>
                </c:pt>
                <c:pt idx="2">
                  <c:v>Good</c:v>
                </c:pt>
                <c:pt idx="3">
                  <c:v>Fair</c:v>
                </c:pt>
                <c:pt idx="4">
                  <c:v>Poor</c:v>
                </c:pt>
              </c:strCache>
            </c:strRef>
          </c:cat>
          <c:val>
            <c:numRef>
              <c:f>Sheet1!$C$2:$C$6</c:f>
              <c:numCache>
                <c:formatCode>0.0%</c:formatCode>
                <c:ptCount val="5"/>
                <c:pt idx="0">
                  <c:v>0.59099999999999997</c:v>
                </c:pt>
                <c:pt idx="1">
                  <c:v>0.182</c:v>
                </c:pt>
                <c:pt idx="2">
                  <c:v>0.13600000000000001</c:v>
                </c:pt>
                <c:pt idx="3">
                  <c:v>4.4999999999999998E-2</c:v>
                </c:pt>
                <c:pt idx="4">
                  <c:v>4.4999999999999998E-2</c:v>
                </c:pt>
              </c:numCache>
            </c:numRef>
          </c:val>
        </c:ser>
        <c:ser>
          <c:idx val="2"/>
          <c:order val="2"/>
          <c:tx>
            <c:strRef>
              <c:f>Sheet1!$D$1</c:f>
              <c:strCache>
                <c:ptCount val="1"/>
                <c:pt idx="0">
                  <c:v>Graduate Endodontics</c:v>
                </c:pt>
              </c:strCache>
            </c:strRef>
          </c:tx>
          <c:invertIfNegative val="0"/>
          <c:cat>
            <c:strRef>
              <c:f>Sheet1!$A$2:$A$6</c:f>
              <c:strCache>
                <c:ptCount val="5"/>
                <c:pt idx="0">
                  <c:v>Excellent</c:v>
                </c:pt>
                <c:pt idx="1">
                  <c:v>Very Good</c:v>
                </c:pt>
                <c:pt idx="2">
                  <c:v>Good</c:v>
                </c:pt>
                <c:pt idx="3">
                  <c:v>Fair</c:v>
                </c:pt>
                <c:pt idx="4">
                  <c:v>Poor</c:v>
                </c:pt>
              </c:strCache>
            </c:strRef>
          </c:cat>
          <c:val>
            <c:numRef>
              <c:f>Sheet1!$D$2:$D$6</c:f>
              <c:numCache>
                <c:formatCode>0.0%</c:formatCode>
                <c:ptCount val="5"/>
                <c:pt idx="0">
                  <c:v>0.42599999999999999</c:v>
                </c:pt>
                <c:pt idx="1">
                  <c:v>0.315</c:v>
                </c:pt>
                <c:pt idx="2">
                  <c:v>0.20399999999999999</c:v>
                </c:pt>
                <c:pt idx="3">
                  <c:v>3.6999999999999998E-2</c:v>
                </c:pt>
                <c:pt idx="4">
                  <c:v>1.9E-2</c:v>
                </c:pt>
              </c:numCache>
            </c:numRef>
          </c:val>
        </c:ser>
        <c:ser>
          <c:idx val="3"/>
          <c:order val="3"/>
          <c:tx>
            <c:strRef>
              <c:f>Sheet1!$E$1</c:f>
              <c:strCache>
                <c:ptCount val="1"/>
                <c:pt idx="0">
                  <c:v>Grad Periodontics</c:v>
                </c:pt>
              </c:strCache>
            </c:strRef>
          </c:tx>
          <c:spPr>
            <a:solidFill>
              <a:schemeClr val="tx2"/>
            </a:solidFill>
            <a:ln>
              <a:solidFill>
                <a:schemeClr val="tx2"/>
              </a:solidFill>
            </a:ln>
          </c:spPr>
          <c:invertIfNegative val="0"/>
          <c:cat>
            <c:strRef>
              <c:f>Sheet1!$A$2:$A$6</c:f>
              <c:strCache>
                <c:ptCount val="5"/>
                <c:pt idx="0">
                  <c:v>Excellent</c:v>
                </c:pt>
                <c:pt idx="1">
                  <c:v>Very Good</c:v>
                </c:pt>
                <c:pt idx="2">
                  <c:v>Good</c:v>
                </c:pt>
                <c:pt idx="3">
                  <c:v>Fair</c:v>
                </c:pt>
                <c:pt idx="4">
                  <c:v>Poor</c:v>
                </c:pt>
              </c:strCache>
            </c:strRef>
          </c:cat>
          <c:val>
            <c:numRef>
              <c:f>Sheet1!$E$2:$E$6</c:f>
              <c:numCache>
                <c:formatCode>0.0%</c:formatCode>
                <c:ptCount val="5"/>
                <c:pt idx="0">
                  <c:v>0.51700000000000002</c:v>
                </c:pt>
                <c:pt idx="1">
                  <c:v>0.24099999999999999</c:v>
                </c:pt>
                <c:pt idx="2">
                  <c:v>0.17199999999999999</c:v>
                </c:pt>
                <c:pt idx="3">
                  <c:v>6.9000000000000006E-2</c:v>
                </c:pt>
                <c:pt idx="4">
                  <c:v>0</c:v>
                </c:pt>
              </c:numCache>
            </c:numRef>
          </c:val>
        </c:ser>
        <c:ser>
          <c:idx val="4"/>
          <c:order val="4"/>
          <c:tx>
            <c:strRef>
              <c:f>Sheet1!$F$1</c:f>
              <c:strCache>
                <c:ptCount val="1"/>
                <c:pt idx="0">
                  <c:v>Grad Prosthodontics</c:v>
                </c:pt>
              </c:strCache>
            </c:strRef>
          </c:tx>
          <c:spPr>
            <a:solidFill>
              <a:schemeClr val="accent1">
                <a:lumMod val="20000"/>
                <a:lumOff val="80000"/>
              </a:schemeClr>
            </a:solidFill>
            <a:ln>
              <a:solidFill>
                <a:schemeClr val="accent1">
                  <a:lumMod val="20000"/>
                  <a:lumOff val="80000"/>
                </a:schemeClr>
              </a:solidFill>
            </a:ln>
          </c:spPr>
          <c:invertIfNegative val="0"/>
          <c:cat>
            <c:strRef>
              <c:f>Sheet1!$A$2:$A$6</c:f>
              <c:strCache>
                <c:ptCount val="5"/>
                <c:pt idx="0">
                  <c:v>Excellent</c:v>
                </c:pt>
                <c:pt idx="1">
                  <c:v>Very Good</c:v>
                </c:pt>
                <c:pt idx="2">
                  <c:v>Good</c:v>
                </c:pt>
                <c:pt idx="3">
                  <c:v>Fair</c:v>
                </c:pt>
                <c:pt idx="4">
                  <c:v>Poor</c:v>
                </c:pt>
              </c:strCache>
            </c:strRef>
          </c:cat>
          <c:val>
            <c:numRef>
              <c:f>Sheet1!$F$2:$F$6</c:f>
              <c:numCache>
                <c:formatCode>0.0%</c:formatCode>
                <c:ptCount val="5"/>
                <c:pt idx="0">
                  <c:v>0.35899999999999999</c:v>
                </c:pt>
                <c:pt idx="1">
                  <c:v>0.33300000000000002</c:v>
                </c:pt>
                <c:pt idx="2">
                  <c:v>0.20499999999999999</c:v>
                </c:pt>
                <c:pt idx="3">
                  <c:v>0.10299999999999999</c:v>
                </c:pt>
                <c:pt idx="4">
                  <c:v>0</c:v>
                </c:pt>
              </c:numCache>
            </c:numRef>
          </c:val>
        </c:ser>
        <c:ser>
          <c:idx val="5"/>
          <c:order val="5"/>
          <c:tx>
            <c:strRef>
              <c:f>Sheet1!$G$1</c:f>
              <c:strCache>
                <c:ptCount val="1"/>
                <c:pt idx="0">
                  <c:v>Hialeah</c:v>
                </c:pt>
              </c:strCache>
            </c:strRef>
          </c:tx>
          <c:spPr>
            <a:solidFill>
              <a:schemeClr val="accent6">
                <a:lumMod val="60000"/>
                <a:lumOff val="40000"/>
              </a:schemeClr>
            </a:solidFill>
            <a:ln>
              <a:solidFill>
                <a:schemeClr val="accent6">
                  <a:lumMod val="60000"/>
                  <a:lumOff val="40000"/>
                </a:schemeClr>
              </a:solidFill>
            </a:ln>
          </c:spPr>
          <c:invertIfNegative val="0"/>
          <c:cat>
            <c:strRef>
              <c:f>Sheet1!$A$2:$A$6</c:f>
              <c:strCache>
                <c:ptCount val="5"/>
                <c:pt idx="0">
                  <c:v>Excellent</c:v>
                </c:pt>
                <c:pt idx="1">
                  <c:v>Very Good</c:v>
                </c:pt>
                <c:pt idx="2">
                  <c:v>Good</c:v>
                </c:pt>
                <c:pt idx="3">
                  <c:v>Fair</c:v>
                </c:pt>
                <c:pt idx="4">
                  <c:v>Poor</c:v>
                </c:pt>
              </c:strCache>
            </c:strRef>
          </c:cat>
          <c:val>
            <c:numRef>
              <c:f>Sheet1!$G$2:$G$6</c:f>
              <c:numCache>
                <c:formatCode>0.0%</c:formatCode>
                <c:ptCount val="5"/>
                <c:pt idx="0">
                  <c:v>0.36799999999999999</c:v>
                </c:pt>
                <c:pt idx="1">
                  <c:v>0.42099999999999999</c:v>
                </c:pt>
                <c:pt idx="2">
                  <c:v>0.184</c:v>
                </c:pt>
                <c:pt idx="3">
                  <c:v>1.2999999999999999E-2</c:v>
                </c:pt>
                <c:pt idx="4">
                  <c:v>1.2999999999999999E-2</c:v>
                </c:pt>
              </c:numCache>
            </c:numRef>
          </c:val>
        </c:ser>
        <c:ser>
          <c:idx val="6"/>
          <c:order val="6"/>
          <c:tx>
            <c:strRef>
              <c:f>Sheet1!$H$1</c:f>
              <c:strCache>
                <c:ptCount val="1"/>
                <c:pt idx="0">
                  <c:v>Oral Medicine</c:v>
                </c:pt>
              </c:strCache>
            </c:strRef>
          </c:tx>
          <c:spPr>
            <a:solidFill>
              <a:schemeClr val="accent3">
                <a:lumMod val="50000"/>
              </a:schemeClr>
            </a:solidFill>
            <a:ln>
              <a:solidFill>
                <a:schemeClr val="accent3">
                  <a:lumMod val="50000"/>
                </a:schemeClr>
              </a:solidFill>
            </a:ln>
          </c:spPr>
          <c:invertIfNegative val="0"/>
          <c:cat>
            <c:strRef>
              <c:f>Sheet1!$A$2:$A$6</c:f>
              <c:strCache>
                <c:ptCount val="5"/>
                <c:pt idx="0">
                  <c:v>Excellent</c:v>
                </c:pt>
                <c:pt idx="1">
                  <c:v>Very Good</c:v>
                </c:pt>
                <c:pt idx="2">
                  <c:v>Good</c:v>
                </c:pt>
                <c:pt idx="3">
                  <c:v>Fair</c:v>
                </c:pt>
                <c:pt idx="4">
                  <c:v>Poor</c:v>
                </c:pt>
              </c:strCache>
            </c:strRef>
          </c:cat>
          <c:val>
            <c:numRef>
              <c:f>Sheet1!$H$2:$H$6</c:f>
              <c:numCache>
                <c:formatCode>0.0%</c:formatCode>
                <c:ptCount val="5"/>
                <c:pt idx="0">
                  <c:v>0.4</c:v>
                </c:pt>
                <c:pt idx="1">
                  <c:v>0.53300000000000003</c:v>
                </c:pt>
                <c:pt idx="2">
                  <c:v>6.7000000000000004E-2</c:v>
                </c:pt>
                <c:pt idx="3">
                  <c:v>0</c:v>
                </c:pt>
                <c:pt idx="4">
                  <c:v>0</c:v>
                </c:pt>
              </c:numCache>
            </c:numRef>
          </c:val>
        </c:ser>
        <c:ser>
          <c:idx val="7"/>
          <c:order val="7"/>
          <c:tx>
            <c:strRef>
              <c:f>Sheet1!$I$1</c:f>
              <c:strCache>
                <c:ptCount val="1"/>
                <c:pt idx="0">
                  <c:v>Orthodontics</c:v>
                </c:pt>
              </c:strCache>
            </c:strRef>
          </c:tx>
          <c:spPr>
            <a:solidFill>
              <a:srgbClr val="0070C0"/>
            </a:solidFill>
            <a:ln>
              <a:solidFill>
                <a:srgbClr val="0070C0"/>
              </a:solidFill>
            </a:ln>
          </c:spPr>
          <c:invertIfNegative val="0"/>
          <c:cat>
            <c:strRef>
              <c:f>Sheet1!$A$2:$A$6</c:f>
              <c:strCache>
                <c:ptCount val="5"/>
                <c:pt idx="0">
                  <c:v>Excellent</c:v>
                </c:pt>
                <c:pt idx="1">
                  <c:v>Very Good</c:v>
                </c:pt>
                <c:pt idx="2">
                  <c:v>Good</c:v>
                </c:pt>
                <c:pt idx="3">
                  <c:v>Fair</c:v>
                </c:pt>
                <c:pt idx="4">
                  <c:v>Poor</c:v>
                </c:pt>
              </c:strCache>
            </c:strRef>
          </c:cat>
          <c:val>
            <c:numRef>
              <c:f>Sheet1!$I$2:$I$6</c:f>
              <c:numCache>
                <c:formatCode>0.0%</c:formatCode>
                <c:ptCount val="5"/>
                <c:pt idx="0">
                  <c:v>0.32100000000000001</c:v>
                </c:pt>
                <c:pt idx="1">
                  <c:v>0.34</c:v>
                </c:pt>
                <c:pt idx="2">
                  <c:v>0.22600000000000001</c:v>
                </c:pt>
                <c:pt idx="3">
                  <c:v>0.113</c:v>
                </c:pt>
                <c:pt idx="4">
                  <c:v>0</c:v>
                </c:pt>
              </c:numCache>
            </c:numRef>
          </c:val>
        </c:ser>
        <c:ser>
          <c:idx val="8"/>
          <c:order val="8"/>
          <c:tx>
            <c:strRef>
              <c:f>Sheet1!$J$1</c:f>
              <c:strCache>
                <c:ptCount val="1"/>
                <c:pt idx="0">
                  <c:v>Oral Surgery</c:v>
                </c:pt>
              </c:strCache>
            </c:strRef>
          </c:tx>
          <c:invertIfNegative val="0"/>
          <c:cat>
            <c:strRef>
              <c:f>Sheet1!$A$2:$A$6</c:f>
              <c:strCache>
                <c:ptCount val="5"/>
                <c:pt idx="0">
                  <c:v>Excellent</c:v>
                </c:pt>
                <c:pt idx="1">
                  <c:v>Very Good</c:v>
                </c:pt>
                <c:pt idx="2">
                  <c:v>Good</c:v>
                </c:pt>
                <c:pt idx="3">
                  <c:v>Fair</c:v>
                </c:pt>
                <c:pt idx="4">
                  <c:v>Poor</c:v>
                </c:pt>
              </c:strCache>
            </c:strRef>
          </c:cat>
          <c:val>
            <c:numRef>
              <c:f>Sheet1!$J$2:$J$6</c:f>
              <c:numCache>
                <c:formatCode>0.0%</c:formatCode>
                <c:ptCount val="5"/>
                <c:pt idx="0">
                  <c:v>0.41499999999999998</c:v>
                </c:pt>
                <c:pt idx="1">
                  <c:v>0.36899999999999999</c:v>
                </c:pt>
                <c:pt idx="2">
                  <c:v>0.185</c:v>
                </c:pt>
                <c:pt idx="3">
                  <c:v>2.9000000000000001E-2</c:v>
                </c:pt>
                <c:pt idx="4">
                  <c:v>0</c:v>
                </c:pt>
              </c:numCache>
            </c:numRef>
          </c:val>
        </c:ser>
        <c:ser>
          <c:idx val="9"/>
          <c:order val="9"/>
          <c:tx>
            <c:strRef>
              <c:f>Sheet1!$K$1</c:f>
              <c:strCache>
                <c:ptCount val="1"/>
                <c:pt idx="0">
                  <c:v>Pediatrics</c:v>
                </c:pt>
              </c:strCache>
            </c:strRef>
          </c:tx>
          <c:invertIfNegative val="0"/>
          <c:cat>
            <c:strRef>
              <c:f>Sheet1!$A$2:$A$6</c:f>
              <c:strCache>
                <c:ptCount val="5"/>
                <c:pt idx="0">
                  <c:v>Excellent</c:v>
                </c:pt>
                <c:pt idx="1">
                  <c:v>Very Good</c:v>
                </c:pt>
                <c:pt idx="2">
                  <c:v>Good</c:v>
                </c:pt>
                <c:pt idx="3">
                  <c:v>Fair</c:v>
                </c:pt>
                <c:pt idx="4">
                  <c:v>Poor</c:v>
                </c:pt>
              </c:strCache>
            </c:strRef>
          </c:cat>
          <c:val>
            <c:numRef>
              <c:f>Sheet1!$K$2:$K$6</c:f>
              <c:numCache>
                <c:formatCode>0.0%</c:formatCode>
                <c:ptCount val="5"/>
                <c:pt idx="0">
                  <c:v>0.28599999999999998</c:v>
                </c:pt>
                <c:pt idx="1">
                  <c:v>0.371</c:v>
                </c:pt>
                <c:pt idx="2">
                  <c:v>0.28599999999999998</c:v>
                </c:pt>
                <c:pt idx="3">
                  <c:v>5.7000000000000002E-2</c:v>
                </c:pt>
                <c:pt idx="4">
                  <c:v>0</c:v>
                </c:pt>
              </c:numCache>
            </c:numRef>
          </c:val>
        </c:ser>
        <c:ser>
          <c:idx val="10"/>
          <c:order val="10"/>
          <c:tx>
            <c:strRef>
              <c:f>Sheet1!$L$1</c:f>
              <c:strCache>
                <c:ptCount val="1"/>
                <c:pt idx="0">
                  <c:v>St. Pete</c:v>
                </c:pt>
              </c:strCache>
            </c:strRef>
          </c:tx>
          <c:invertIfNegative val="0"/>
          <c:cat>
            <c:strRef>
              <c:f>Sheet1!$A$2:$A$6</c:f>
              <c:strCache>
                <c:ptCount val="5"/>
                <c:pt idx="0">
                  <c:v>Excellent</c:v>
                </c:pt>
                <c:pt idx="1">
                  <c:v>Very Good</c:v>
                </c:pt>
                <c:pt idx="2">
                  <c:v>Good</c:v>
                </c:pt>
                <c:pt idx="3">
                  <c:v>Fair</c:v>
                </c:pt>
                <c:pt idx="4">
                  <c:v>Poor</c:v>
                </c:pt>
              </c:strCache>
            </c:strRef>
          </c:cat>
          <c:val>
            <c:numRef>
              <c:f>Sheet1!$L$2:$L$6</c:f>
              <c:numCache>
                <c:formatCode>0.0%</c:formatCode>
                <c:ptCount val="5"/>
                <c:pt idx="0">
                  <c:v>0.52200000000000002</c:v>
                </c:pt>
                <c:pt idx="1">
                  <c:v>0.32600000000000001</c:v>
                </c:pt>
                <c:pt idx="2">
                  <c:v>0.152</c:v>
                </c:pt>
                <c:pt idx="3">
                  <c:v>0</c:v>
                </c:pt>
                <c:pt idx="4">
                  <c:v>0</c:v>
                </c:pt>
              </c:numCache>
            </c:numRef>
          </c:val>
        </c:ser>
        <c:dLbls>
          <c:showLegendKey val="0"/>
          <c:showVal val="0"/>
          <c:showCatName val="0"/>
          <c:showSerName val="0"/>
          <c:showPercent val="0"/>
          <c:showBubbleSize val="0"/>
        </c:dLbls>
        <c:gapWidth val="150"/>
        <c:axId val="173532288"/>
        <c:axId val="173533824"/>
      </c:barChart>
      <c:catAx>
        <c:axId val="173532288"/>
        <c:scaling>
          <c:orientation val="minMax"/>
        </c:scaling>
        <c:delete val="0"/>
        <c:axPos val="b"/>
        <c:majorTickMark val="out"/>
        <c:minorTickMark val="none"/>
        <c:tickLblPos val="nextTo"/>
        <c:crossAx val="173533824"/>
        <c:crosses val="autoZero"/>
        <c:auto val="1"/>
        <c:lblAlgn val="ctr"/>
        <c:lblOffset val="100"/>
        <c:noMultiLvlLbl val="0"/>
      </c:catAx>
      <c:valAx>
        <c:axId val="173533824"/>
        <c:scaling>
          <c:orientation val="minMax"/>
        </c:scaling>
        <c:delete val="0"/>
        <c:axPos val="l"/>
        <c:majorGridlines/>
        <c:numFmt formatCode="0.0%" sourceLinked="1"/>
        <c:majorTickMark val="out"/>
        <c:minorTickMark val="none"/>
        <c:tickLblPos val="nextTo"/>
        <c:crossAx val="173532288"/>
        <c:crosses val="autoZero"/>
        <c:crossBetween val="between"/>
      </c:valAx>
    </c:plotArea>
    <c:legend>
      <c:legendPos val="r"/>
      <c:layout>
        <c:manualLayout>
          <c:xMode val="edge"/>
          <c:yMode val="edge"/>
          <c:x val="0.84328614724264406"/>
          <c:y val="0.10298563672918369"/>
          <c:w val="0.15671385275735561"/>
          <c:h val="0.58546592271992492"/>
        </c:manualLayout>
      </c:layout>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Average Rating of Cleanliness of Restrooms</a:t>
            </a:r>
          </a:p>
        </c:rich>
      </c:tx>
      <c:layout/>
      <c:overlay val="0"/>
    </c:title>
    <c:autoTitleDeleted val="0"/>
    <c:plotArea>
      <c:layout/>
      <c:lineChart>
        <c:grouping val="standard"/>
        <c:varyColors val="0"/>
        <c:ser>
          <c:idx val="0"/>
          <c:order val="0"/>
          <c:tx>
            <c:strRef>
              <c:f>Sheet1!$B$1</c:f>
              <c:strCache>
                <c:ptCount val="1"/>
                <c:pt idx="0">
                  <c:v>Column1</c:v>
                </c:pt>
              </c:strCache>
            </c:strRef>
          </c:tx>
          <c:marker>
            <c:symbol val="none"/>
          </c:marker>
          <c:dLbls>
            <c:dLbl>
              <c:idx val="0"/>
              <c:layout>
                <c:manualLayout>
                  <c:x val="-3.0380484792342132E-2"/>
                  <c:y val="-3.5543376461202258E-2"/>
                </c:manualLayout>
              </c:layout>
              <c:dLblPos val="r"/>
              <c:showLegendKey val="0"/>
              <c:showVal val="1"/>
              <c:showCatName val="0"/>
              <c:showSerName val="0"/>
              <c:showPercent val="0"/>
              <c:showBubbleSize val="0"/>
            </c:dLbl>
            <c:dLbl>
              <c:idx val="1"/>
              <c:layout>
                <c:manualLayout>
                  <c:x val="-2.5674602439400958E-2"/>
                  <c:y val="-3.5543607709829277E-2"/>
                </c:manualLayout>
              </c:layout>
              <c:dLblPos val="r"/>
              <c:showLegendKey val="0"/>
              <c:showVal val="1"/>
              <c:showCatName val="0"/>
              <c:showSerName val="0"/>
              <c:showPercent val="0"/>
              <c:showBubbleSize val="0"/>
            </c:dLbl>
            <c:dLbl>
              <c:idx val="2"/>
              <c:layout>
                <c:manualLayout>
                  <c:x val="-2.2537347537440171E-2"/>
                  <c:y val="-2.9669661336385815E-2"/>
                </c:manualLayout>
              </c:layout>
              <c:dLblPos val="r"/>
              <c:showLegendKey val="0"/>
              <c:showVal val="1"/>
              <c:showCatName val="0"/>
              <c:showSerName val="0"/>
              <c:showPercent val="0"/>
              <c:showBubbleSize val="0"/>
            </c:dLbl>
            <c:dLbl>
              <c:idx val="3"/>
              <c:layout>
                <c:manualLayout>
                  <c:x val="-2.7243229890381349E-2"/>
                  <c:y val="-2.9670123833639737E-2"/>
                </c:manualLayout>
              </c:layout>
              <c:dLblPos val="r"/>
              <c:showLegendKey val="0"/>
              <c:showVal val="1"/>
              <c:showCatName val="0"/>
              <c:showSerName val="0"/>
              <c:showPercent val="0"/>
              <c:showBubbleSize val="0"/>
            </c:dLbl>
            <c:dLbl>
              <c:idx val="4"/>
              <c:layout>
                <c:manualLayout>
                  <c:x val="-2.4105974988420566E-2"/>
                  <c:y val="2.3193543538335241E-2"/>
                </c:manualLayout>
              </c:layout>
              <c:dLblPos val="r"/>
              <c:showLegendKey val="0"/>
              <c:showVal val="1"/>
              <c:showCatName val="0"/>
              <c:showSerName val="0"/>
              <c:showPercent val="0"/>
              <c:showBubbleSize val="0"/>
            </c:dLbl>
            <c:dLbl>
              <c:idx val="5"/>
              <c:layout>
                <c:manualLayout>
                  <c:x val="-3.3517739694302918E-2"/>
                  <c:y val="-2.3795946211569368E-2"/>
                </c:manualLayout>
              </c:layout>
              <c:dLblPos val="r"/>
              <c:showLegendKey val="0"/>
              <c:showVal val="1"/>
              <c:showCatName val="0"/>
              <c:showSerName val="0"/>
              <c:showPercent val="0"/>
              <c:showBubbleSize val="0"/>
            </c:dLbl>
            <c:dLbl>
              <c:idx val="6"/>
              <c:layout>
                <c:manualLayout>
                  <c:x val="-2.7243229890381356E-2"/>
                  <c:y val="-3.2606518898794061E-2"/>
                </c:manualLayout>
              </c:layout>
              <c:dLblPos val="r"/>
              <c:showLegendKey val="0"/>
              <c:showVal val="1"/>
              <c:showCatName val="0"/>
              <c:showSerName val="0"/>
              <c:showPercent val="0"/>
              <c:showBubbleSize val="0"/>
            </c:dLbl>
            <c:dLbl>
              <c:idx val="7"/>
              <c:layout>
                <c:manualLayout>
                  <c:x val="-2.4105974988420566E-2"/>
                  <c:y val="2.6130632349370426E-2"/>
                </c:manualLayout>
              </c:layout>
              <c:dLblPos val="r"/>
              <c:showLegendKey val="0"/>
              <c:showVal val="1"/>
              <c:showCatName val="0"/>
              <c:showSerName val="0"/>
              <c:showPercent val="0"/>
              <c:showBubbleSize val="0"/>
            </c:dLbl>
            <c:dLbl>
              <c:idx val="8"/>
              <c:layout>
                <c:manualLayout>
                  <c:x val="-2.5674725953373476E-2"/>
                  <c:y val="-2.3795946211569316E-2"/>
                </c:manualLayout>
              </c:layout>
              <c:dLblPos val="r"/>
              <c:showLegendKey val="0"/>
              <c:showVal val="1"/>
              <c:showCatName val="0"/>
              <c:showSerName val="0"/>
              <c:showPercent val="0"/>
              <c:showBubbleSize val="0"/>
            </c:dLbl>
            <c:dLbl>
              <c:idx val="9"/>
              <c:layout>
                <c:manualLayout>
                  <c:x val="-2.5674725953373362E-2"/>
                  <c:y val="3.4941205036595098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Sheet1!$A$2:$A$12</c:f>
              <c:strCache>
                <c:ptCount val="11"/>
                <c:pt idx="0">
                  <c:v>Student
Clinics</c:v>
                </c:pt>
                <c:pt idx="1">
                  <c:v>FP</c:v>
                </c:pt>
                <c:pt idx="2">
                  <c:v>GE</c:v>
                </c:pt>
                <c:pt idx="3">
                  <c:v>GPE</c:v>
                </c:pt>
                <c:pt idx="4">
                  <c:v>GPR</c:v>
                </c:pt>
                <c:pt idx="5">
                  <c:v>Hialeah</c:v>
                </c:pt>
                <c:pt idx="6">
                  <c:v>OM</c:v>
                </c:pt>
                <c:pt idx="7">
                  <c:v>OR</c:v>
                </c:pt>
                <c:pt idx="8">
                  <c:v>OS</c:v>
                </c:pt>
                <c:pt idx="9">
                  <c:v>PD</c:v>
                </c:pt>
                <c:pt idx="10">
                  <c:v>SP</c:v>
                </c:pt>
              </c:strCache>
            </c:strRef>
          </c:cat>
          <c:val>
            <c:numRef>
              <c:f>Sheet1!$B$2:$B$12</c:f>
              <c:numCache>
                <c:formatCode>0.00</c:formatCode>
                <c:ptCount val="11"/>
                <c:pt idx="0">
                  <c:v>4.16</c:v>
                </c:pt>
                <c:pt idx="1">
                  <c:v>4.2300000000000004</c:v>
                </c:pt>
                <c:pt idx="2">
                  <c:v>4.09</c:v>
                </c:pt>
                <c:pt idx="3">
                  <c:v>4.21</c:v>
                </c:pt>
                <c:pt idx="4">
                  <c:v>3.95</c:v>
                </c:pt>
                <c:pt idx="5">
                  <c:v>4.12</c:v>
                </c:pt>
                <c:pt idx="6">
                  <c:v>4.33</c:v>
                </c:pt>
                <c:pt idx="7">
                  <c:v>3.87</c:v>
                </c:pt>
                <c:pt idx="8">
                  <c:v>4.17</c:v>
                </c:pt>
                <c:pt idx="9">
                  <c:v>3.89</c:v>
                </c:pt>
                <c:pt idx="10">
                  <c:v>4.37</c:v>
                </c:pt>
              </c:numCache>
            </c:numRef>
          </c:val>
          <c:smooth val="0"/>
        </c:ser>
        <c:dLbls>
          <c:showLegendKey val="0"/>
          <c:showVal val="1"/>
          <c:showCatName val="0"/>
          <c:showSerName val="0"/>
          <c:showPercent val="0"/>
          <c:showBubbleSize val="0"/>
        </c:dLbls>
        <c:marker val="1"/>
        <c:smooth val="0"/>
        <c:axId val="173753856"/>
        <c:axId val="173756800"/>
      </c:lineChart>
      <c:catAx>
        <c:axId val="173753856"/>
        <c:scaling>
          <c:orientation val="minMax"/>
        </c:scaling>
        <c:delete val="0"/>
        <c:axPos val="b"/>
        <c:majorTickMark val="out"/>
        <c:minorTickMark val="none"/>
        <c:tickLblPos val="nextTo"/>
        <c:crossAx val="173756800"/>
        <c:crosses val="autoZero"/>
        <c:auto val="1"/>
        <c:lblAlgn val="ctr"/>
        <c:lblOffset val="100"/>
        <c:noMultiLvlLbl val="0"/>
      </c:catAx>
      <c:valAx>
        <c:axId val="173756800"/>
        <c:scaling>
          <c:orientation val="minMax"/>
          <c:max val="5"/>
          <c:min val="3"/>
        </c:scaling>
        <c:delete val="0"/>
        <c:axPos val="l"/>
        <c:majorGridlines/>
        <c:numFmt formatCode="0.00" sourceLinked="1"/>
        <c:majorTickMark val="out"/>
        <c:minorTickMark val="none"/>
        <c:tickLblPos val="nextTo"/>
        <c:crossAx val="173753856"/>
        <c:crosses val="autoZero"/>
        <c:crossBetween val="between"/>
        <c:majorUnit val="0.5"/>
      </c:valAx>
    </c:plotArea>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Overall Quality of Care</a:t>
            </a:r>
          </a:p>
        </c:rich>
      </c:tx>
      <c:layout/>
      <c:overlay val="0"/>
    </c:title>
    <c:autoTitleDeleted val="0"/>
    <c:plotArea>
      <c:layout/>
      <c:barChart>
        <c:barDir val="col"/>
        <c:grouping val="clustered"/>
        <c:varyColors val="0"/>
        <c:ser>
          <c:idx val="0"/>
          <c:order val="0"/>
          <c:tx>
            <c:strRef>
              <c:f>Sheet1!$B$1</c:f>
              <c:strCache>
                <c:ptCount val="1"/>
                <c:pt idx="0">
                  <c:v>Student Clinics</c:v>
                </c:pt>
              </c:strCache>
            </c:strRef>
          </c:tx>
          <c:invertIfNegative val="0"/>
          <c:cat>
            <c:strRef>
              <c:f>Sheet1!$A$2:$A$6</c:f>
              <c:strCache>
                <c:ptCount val="5"/>
                <c:pt idx="0">
                  <c:v>Excellent</c:v>
                </c:pt>
                <c:pt idx="1">
                  <c:v>Very Good</c:v>
                </c:pt>
                <c:pt idx="2">
                  <c:v>Good</c:v>
                </c:pt>
                <c:pt idx="3">
                  <c:v>Fair</c:v>
                </c:pt>
                <c:pt idx="4">
                  <c:v>Poor</c:v>
                </c:pt>
              </c:strCache>
            </c:strRef>
          </c:cat>
          <c:val>
            <c:numRef>
              <c:f>Sheet1!$B$2:$B$6</c:f>
              <c:numCache>
                <c:formatCode>0.0%</c:formatCode>
                <c:ptCount val="5"/>
                <c:pt idx="0">
                  <c:v>0.79400000000000004</c:v>
                </c:pt>
                <c:pt idx="1">
                  <c:v>0.17</c:v>
                </c:pt>
                <c:pt idx="2">
                  <c:v>2.8000000000000001E-2</c:v>
                </c:pt>
                <c:pt idx="3">
                  <c:v>7.0000000000000001E-3</c:v>
                </c:pt>
                <c:pt idx="4">
                  <c:v>2E-3</c:v>
                </c:pt>
              </c:numCache>
            </c:numRef>
          </c:val>
        </c:ser>
        <c:ser>
          <c:idx val="1"/>
          <c:order val="1"/>
          <c:tx>
            <c:strRef>
              <c:f>Sheet1!$C$1</c:f>
              <c:strCache>
                <c:ptCount val="1"/>
                <c:pt idx="0">
                  <c:v>Faculty Practice</c:v>
                </c:pt>
              </c:strCache>
            </c:strRef>
          </c:tx>
          <c:spPr>
            <a:solidFill>
              <a:schemeClr val="accent6"/>
            </a:solidFill>
            <a:ln>
              <a:solidFill>
                <a:schemeClr val="accent6"/>
              </a:solidFill>
            </a:ln>
          </c:spPr>
          <c:invertIfNegative val="0"/>
          <c:cat>
            <c:strRef>
              <c:f>Sheet1!$A$2:$A$6</c:f>
              <c:strCache>
                <c:ptCount val="5"/>
                <c:pt idx="0">
                  <c:v>Excellent</c:v>
                </c:pt>
                <c:pt idx="1">
                  <c:v>Very Good</c:v>
                </c:pt>
                <c:pt idx="2">
                  <c:v>Good</c:v>
                </c:pt>
                <c:pt idx="3">
                  <c:v>Fair</c:v>
                </c:pt>
                <c:pt idx="4">
                  <c:v>Poor</c:v>
                </c:pt>
              </c:strCache>
            </c:strRef>
          </c:cat>
          <c:val>
            <c:numRef>
              <c:f>Sheet1!$C$2:$C$6</c:f>
              <c:numCache>
                <c:formatCode>0.0%</c:formatCode>
                <c:ptCount val="5"/>
                <c:pt idx="0">
                  <c:v>0.73899999999999999</c:v>
                </c:pt>
                <c:pt idx="1">
                  <c:v>0.217</c:v>
                </c:pt>
                <c:pt idx="2">
                  <c:v>4.2999999999999997E-2</c:v>
                </c:pt>
                <c:pt idx="3">
                  <c:v>0</c:v>
                </c:pt>
                <c:pt idx="4">
                  <c:v>0</c:v>
                </c:pt>
              </c:numCache>
            </c:numRef>
          </c:val>
        </c:ser>
        <c:ser>
          <c:idx val="2"/>
          <c:order val="2"/>
          <c:tx>
            <c:strRef>
              <c:f>Sheet1!$D$1</c:f>
              <c:strCache>
                <c:ptCount val="1"/>
                <c:pt idx="0">
                  <c:v>Graduate Endodontics</c:v>
                </c:pt>
              </c:strCache>
            </c:strRef>
          </c:tx>
          <c:invertIfNegative val="0"/>
          <c:cat>
            <c:strRef>
              <c:f>Sheet1!$A$2:$A$6</c:f>
              <c:strCache>
                <c:ptCount val="5"/>
                <c:pt idx="0">
                  <c:v>Excellent</c:v>
                </c:pt>
                <c:pt idx="1">
                  <c:v>Very Good</c:v>
                </c:pt>
                <c:pt idx="2">
                  <c:v>Good</c:v>
                </c:pt>
                <c:pt idx="3">
                  <c:v>Fair</c:v>
                </c:pt>
                <c:pt idx="4">
                  <c:v>Poor</c:v>
                </c:pt>
              </c:strCache>
            </c:strRef>
          </c:cat>
          <c:val>
            <c:numRef>
              <c:f>Sheet1!$D$2:$D$6</c:f>
              <c:numCache>
                <c:formatCode>0.0%</c:formatCode>
                <c:ptCount val="5"/>
                <c:pt idx="0">
                  <c:v>0.72199999999999998</c:v>
                </c:pt>
                <c:pt idx="1">
                  <c:v>0.24099999999999999</c:v>
                </c:pt>
                <c:pt idx="2">
                  <c:v>3.6999999999999998E-2</c:v>
                </c:pt>
                <c:pt idx="3">
                  <c:v>0</c:v>
                </c:pt>
                <c:pt idx="4">
                  <c:v>0</c:v>
                </c:pt>
              </c:numCache>
            </c:numRef>
          </c:val>
        </c:ser>
        <c:ser>
          <c:idx val="3"/>
          <c:order val="3"/>
          <c:tx>
            <c:strRef>
              <c:f>Sheet1!$E$1</c:f>
              <c:strCache>
                <c:ptCount val="1"/>
                <c:pt idx="0">
                  <c:v>Grad Periodontics</c:v>
                </c:pt>
              </c:strCache>
            </c:strRef>
          </c:tx>
          <c:spPr>
            <a:solidFill>
              <a:schemeClr val="tx2"/>
            </a:solidFill>
            <a:ln>
              <a:solidFill>
                <a:schemeClr val="tx2"/>
              </a:solidFill>
            </a:ln>
          </c:spPr>
          <c:invertIfNegative val="0"/>
          <c:cat>
            <c:strRef>
              <c:f>Sheet1!$A$2:$A$6</c:f>
              <c:strCache>
                <c:ptCount val="5"/>
                <c:pt idx="0">
                  <c:v>Excellent</c:v>
                </c:pt>
                <c:pt idx="1">
                  <c:v>Very Good</c:v>
                </c:pt>
                <c:pt idx="2">
                  <c:v>Good</c:v>
                </c:pt>
                <c:pt idx="3">
                  <c:v>Fair</c:v>
                </c:pt>
                <c:pt idx="4">
                  <c:v>Poor</c:v>
                </c:pt>
              </c:strCache>
            </c:strRef>
          </c:cat>
          <c:val>
            <c:numRef>
              <c:f>Sheet1!$E$2:$E$6</c:f>
              <c:numCache>
                <c:formatCode>0.0%</c:formatCode>
                <c:ptCount val="5"/>
                <c:pt idx="0">
                  <c:v>0.75900000000000001</c:v>
                </c:pt>
                <c:pt idx="1">
                  <c:v>0.24099999999999999</c:v>
                </c:pt>
                <c:pt idx="2">
                  <c:v>0</c:v>
                </c:pt>
                <c:pt idx="3">
                  <c:v>0</c:v>
                </c:pt>
                <c:pt idx="4">
                  <c:v>0</c:v>
                </c:pt>
              </c:numCache>
            </c:numRef>
          </c:val>
        </c:ser>
        <c:ser>
          <c:idx val="4"/>
          <c:order val="4"/>
          <c:tx>
            <c:strRef>
              <c:f>Sheet1!$F$1</c:f>
              <c:strCache>
                <c:ptCount val="1"/>
                <c:pt idx="0">
                  <c:v>Grad Prosthodontics</c:v>
                </c:pt>
              </c:strCache>
            </c:strRef>
          </c:tx>
          <c:spPr>
            <a:solidFill>
              <a:schemeClr val="accent1">
                <a:lumMod val="20000"/>
                <a:lumOff val="80000"/>
              </a:schemeClr>
            </a:solidFill>
            <a:ln>
              <a:solidFill>
                <a:schemeClr val="accent1">
                  <a:lumMod val="20000"/>
                  <a:lumOff val="80000"/>
                </a:schemeClr>
              </a:solidFill>
            </a:ln>
          </c:spPr>
          <c:invertIfNegative val="0"/>
          <c:cat>
            <c:strRef>
              <c:f>Sheet1!$A$2:$A$6</c:f>
              <c:strCache>
                <c:ptCount val="5"/>
                <c:pt idx="0">
                  <c:v>Excellent</c:v>
                </c:pt>
                <c:pt idx="1">
                  <c:v>Very Good</c:v>
                </c:pt>
                <c:pt idx="2">
                  <c:v>Good</c:v>
                </c:pt>
                <c:pt idx="3">
                  <c:v>Fair</c:v>
                </c:pt>
                <c:pt idx="4">
                  <c:v>Poor</c:v>
                </c:pt>
              </c:strCache>
            </c:strRef>
          </c:cat>
          <c:val>
            <c:numRef>
              <c:f>Sheet1!$F$2:$F$6</c:f>
              <c:numCache>
                <c:formatCode>0.0%</c:formatCode>
                <c:ptCount val="5"/>
                <c:pt idx="0">
                  <c:v>0.81100000000000005</c:v>
                </c:pt>
                <c:pt idx="1">
                  <c:v>0.189</c:v>
                </c:pt>
                <c:pt idx="2">
                  <c:v>0</c:v>
                </c:pt>
                <c:pt idx="3">
                  <c:v>0</c:v>
                </c:pt>
                <c:pt idx="4">
                  <c:v>0</c:v>
                </c:pt>
              </c:numCache>
            </c:numRef>
          </c:val>
        </c:ser>
        <c:ser>
          <c:idx val="5"/>
          <c:order val="5"/>
          <c:tx>
            <c:strRef>
              <c:f>Sheet1!$G$1</c:f>
              <c:strCache>
                <c:ptCount val="1"/>
                <c:pt idx="0">
                  <c:v>Hialeah</c:v>
                </c:pt>
              </c:strCache>
            </c:strRef>
          </c:tx>
          <c:spPr>
            <a:solidFill>
              <a:schemeClr val="accent6">
                <a:lumMod val="60000"/>
                <a:lumOff val="40000"/>
              </a:schemeClr>
            </a:solidFill>
            <a:ln>
              <a:solidFill>
                <a:schemeClr val="accent6">
                  <a:lumMod val="60000"/>
                  <a:lumOff val="40000"/>
                </a:schemeClr>
              </a:solidFill>
            </a:ln>
          </c:spPr>
          <c:invertIfNegative val="0"/>
          <c:cat>
            <c:strRef>
              <c:f>Sheet1!$A$2:$A$6</c:f>
              <c:strCache>
                <c:ptCount val="5"/>
                <c:pt idx="0">
                  <c:v>Excellent</c:v>
                </c:pt>
                <c:pt idx="1">
                  <c:v>Very Good</c:v>
                </c:pt>
                <c:pt idx="2">
                  <c:v>Good</c:v>
                </c:pt>
                <c:pt idx="3">
                  <c:v>Fair</c:v>
                </c:pt>
                <c:pt idx="4">
                  <c:v>Poor</c:v>
                </c:pt>
              </c:strCache>
            </c:strRef>
          </c:cat>
          <c:val>
            <c:numRef>
              <c:f>Sheet1!$G$2:$G$6</c:f>
              <c:numCache>
                <c:formatCode>0.0%</c:formatCode>
                <c:ptCount val="5"/>
                <c:pt idx="0">
                  <c:v>0.64900000000000002</c:v>
                </c:pt>
                <c:pt idx="1">
                  <c:v>0.28599999999999998</c:v>
                </c:pt>
                <c:pt idx="2">
                  <c:v>5.1999999999999998E-2</c:v>
                </c:pt>
                <c:pt idx="3">
                  <c:v>1.2999999999999999E-2</c:v>
                </c:pt>
                <c:pt idx="4">
                  <c:v>0</c:v>
                </c:pt>
              </c:numCache>
            </c:numRef>
          </c:val>
        </c:ser>
        <c:ser>
          <c:idx val="6"/>
          <c:order val="6"/>
          <c:tx>
            <c:strRef>
              <c:f>Sheet1!$H$1</c:f>
              <c:strCache>
                <c:ptCount val="1"/>
                <c:pt idx="0">
                  <c:v>Oral Medicine</c:v>
                </c:pt>
              </c:strCache>
            </c:strRef>
          </c:tx>
          <c:spPr>
            <a:solidFill>
              <a:schemeClr val="accent3">
                <a:lumMod val="50000"/>
              </a:schemeClr>
            </a:solidFill>
            <a:ln>
              <a:solidFill>
                <a:schemeClr val="accent3">
                  <a:lumMod val="50000"/>
                </a:schemeClr>
              </a:solidFill>
            </a:ln>
          </c:spPr>
          <c:invertIfNegative val="0"/>
          <c:cat>
            <c:strRef>
              <c:f>Sheet1!$A$2:$A$6</c:f>
              <c:strCache>
                <c:ptCount val="5"/>
                <c:pt idx="0">
                  <c:v>Excellent</c:v>
                </c:pt>
                <c:pt idx="1">
                  <c:v>Very Good</c:v>
                </c:pt>
                <c:pt idx="2">
                  <c:v>Good</c:v>
                </c:pt>
                <c:pt idx="3">
                  <c:v>Fair</c:v>
                </c:pt>
                <c:pt idx="4">
                  <c:v>Poor</c:v>
                </c:pt>
              </c:strCache>
            </c:strRef>
          </c:cat>
          <c:val>
            <c:numRef>
              <c:f>Sheet1!$H$2:$H$6</c:f>
              <c:numCache>
                <c:formatCode>0.0%</c:formatCode>
                <c:ptCount val="5"/>
                <c:pt idx="0">
                  <c:v>0.75</c:v>
                </c:pt>
                <c:pt idx="1">
                  <c:v>0.25</c:v>
                </c:pt>
                <c:pt idx="2">
                  <c:v>0</c:v>
                </c:pt>
                <c:pt idx="3">
                  <c:v>0</c:v>
                </c:pt>
                <c:pt idx="4">
                  <c:v>0</c:v>
                </c:pt>
              </c:numCache>
            </c:numRef>
          </c:val>
        </c:ser>
        <c:ser>
          <c:idx val="7"/>
          <c:order val="7"/>
          <c:tx>
            <c:strRef>
              <c:f>Sheet1!$I$1</c:f>
              <c:strCache>
                <c:ptCount val="1"/>
                <c:pt idx="0">
                  <c:v>Orthodontics</c:v>
                </c:pt>
              </c:strCache>
            </c:strRef>
          </c:tx>
          <c:spPr>
            <a:solidFill>
              <a:srgbClr val="0070C0"/>
            </a:solidFill>
            <a:ln>
              <a:solidFill>
                <a:srgbClr val="0070C0"/>
              </a:solidFill>
            </a:ln>
          </c:spPr>
          <c:invertIfNegative val="0"/>
          <c:cat>
            <c:strRef>
              <c:f>Sheet1!$A$2:$A$6</c:f>
              <c:strCache>
                <c:ptCount val="5"/>
                <c:pt idx="0">
                  <c:v>Excellent</c:v>
                </c:pt>
                <c:pt idx="1">
                  <c:v>Very Good</c:v>
                </c:pt>
                <c:pt idx="2">
                  <c:v>Good</c:v>
                </c:pt>
                <c:pt idx="3">
                  <c:v>Fair</c:v>
                </c:pt>
                <c:pt idx="4">
                  <c:v>Poor</c:v>
                </c:pt>
              </c:strCache>
            </c:strRef>
          </c:cat>
          <c:val>
            <c:numRef>
              <c:f>Sheet1!$I$2:$I$6</c:f>
              <c:numCache>
                <c:formatCode>0.0%</c:formatCode>
                <c:ptCount val="5"/>
                <c:pt idx="0">
                  <c:v>0.70399999999999996</c:v>
                </c:pt>
                <c:pt idx="1">
                  <c:v>0.25900000000000001</c:v>
                </c:pt>
                <c:pt idx="2">
                  <c:v>3.6999999999999998E-2</c:v>
                </c:pt>
                <c:pt idx="3">
                  <c:v>0</c:v>
                </c:pt>
                <c:pt idx="4">
                  <c:v>0</c:v>
                </c:pt>
              </c:numCache>
            </c:numRef>
          </c:val>
        </c:ser>
        <c:ser>
          <c:idx val="8"/>
          <c:order val="8"/>
          <c:tx>
            <c:strRef>
              <c:f>Sheet1!$J$1</c:f>
              <c:strCache>
                <c:ptCount val="1"/>
                <c:pt idx="0">
                  <c:v>Oral Surgery</c:v>
                </c:pt>
              </c:strCache>
            </c:strRef>
          </c:tx>
          <c:invertIfNegative val="0"/>
          <c:cat>
            <c:strRef>
              <c:f>Sheet1!$A$2:$A$6</c:f>
              <c:strCache>
                <c:ptCount val="5"/>
                <c:pt idx="0">
                  <c:v>Excellent</c:v>
                </c:pt>
                <c:pt idx="1">
                  <c:v>Very Good</c:v>
                </c:pt>
                <c:pt idx="2">
                  <c:v>Good</c:v>
                </c:pt>
                <c:pt idx="3">
                  <c:v>Fair</c:v>
                </c:pt>
                <c:pt idx="4">
                  <c:v>Poor</c:v>
                </c:pt>
              </c:strCache>
            </c:strRef>
          </c:cat>
          <c:val>
            <c:numRef>
              <c:f>Sheet1!$J$2:$J$6</c:f>
              <c:numCache>
                <c:formatCode>0.0%</c:formatCode>
                <c:ptCount val="5"/>
                <c:pt idx="0">
                  <c:v>0.63900000000000001</c:v>
                </c:pt>
                <c:pt idx="1">
                  <c:v>0.26200000000000001</c:v>
                </c:pt>
                <c:pt idx="2">
                  <c:v>6.6000000000000003E-2</c:v>
                </c:pt>
                <c:pt idx="3">
                  <c:v>1.6E-2</c:v>
                </c:pt>
                <c:pt idx="4">
                  <c:v>1.6E-2</c:v>
                </c:pt>
              </c:numCache>
            </c:numRef>
          </c:val>
        </c:ser>
        <c:ser>
          <c:idx val="9"/>
          <c:order val="9"/>
          <c:tx>
            <c:strRef>
              <c:f>Sheet1!$K$1</c:f>
              <c:strCache>
                <c:ptCount val="1"/>
                <c:pt idx="0">
                  <c:v>Pediatrics</c:v>
                </c:pt>
              </c:strCache>
            </c:strRef>
          </c:tx>
          <c:invertIfNegative val="0"/>
          <c:cat>
            <c:strRef>
              <c:f>Sheet1!$A$2:$A$6</c:f>
              <c:strCache>
                <c:ptCount val="5"/>
                <c:pt idx="0">
                  <c:v>Excellent</c:v>
                </c:pt>
                <c:pt idx="1">
                  <c:v>Very Good</c:v>
                </c:pt>
                <c:pt idx="2">
                  <c:v>Good</c:v>
                </c:pt>
                <c:pt idx="3">
                  <c:v>Fair</c:v>
                </c:pt>
                <c:pt idx="4">
                  <c:v>Poor</c:v>
                </c:pt>
              </c:strCache>
            </c:strRef>
          </c:cat>
          <c:val>
            <c:numRef>
              <c:f>Sheet1!$K$2:$K$6</c:f>
              <c:numCache>
                <c:formatCode>0.0%</c:formatCode>
                <c:ptCount val="5"/>
                <c:pt idx="0">
                  <c:v>0.69399999999999995</c:v>
                </c:pt>
                <c:pt idx="1">
                  <c:v>0.25</c:v>
                </c:pt>
                <c:pt idx="2">
                  <c:v>2.8000000000000001E-2</c:v>
                </c:pt>
                <c:pt idx="3">
                  <c:v>2.8000000000000001E-2</c:v>
                </c:pt>
                <c:pt idx="4">
                  <c:v>0</c:v>
                </c:pt>
              </c:numCache>
            </c:numRef>
          </c:val>
        </c:ser>
        <c:ser>
          <c:idx val="10"/>
          <c:order val="10"/>
          <c:tx>
            <c:strRef>
              <c:f>Sheet1!$L$1</c:f>
              <c:strCache>
                <c:ptCount val="1"/>
                <c:pt idx="0">
                  <c:v>St. Pete</c:v>
                </c:pt>
              </c:strCache>
            </c:strRef>
          </c:tx>
          <c:invertIfNegative val="0"/>
          <c:cat>
            <c:strRef>
              <c:f>Sheet1!$A$2:$A$6</c:f>
              <c:strCache>
                <c:ptCount val="5"/>
                <c:pt idx="0">
                  <c:v>Excellent</c:v>
                </c:pt>
                <c:pt idx="1">
                  <c:v>Very Good</c:v>
                </c:pt>
                <c:pt idx="2">
                  <c:v>Good</c:v>
                </c:pt>
                <c:pt idx="3">
                  <c:v>Fair</c:v>
                </c:pt>
                <c:pt idx="4">
                  <c:v>Poor</c:v>
                </c:pt>
              </c:strCache>
            </c:strRef>
          </c:cat>
          <c:val>
            <c:numRef>
              <c:f>Sheet1!$L$2:$L$6</c:f>
              <c:numCache>
                <c:formatCode>0.0%</c:formatCode>
                <c:ptCount val="5"/>
                <c:pt idx="0">
                  <c:v>0.70199999999999996</c:v>
                </c:pt>
                <c:pt idx="1">
                  <c:v>0.27700000000000002</c:v>
                </c:pt>
                <c:pt idx="2">
                  <c:v>0</c:v>
                </c:pt>
                <c:pt idx="3">
                  <c:v>0</c:v>
                </c:pt>
                <c:pt idx="4">
                  <c:v>2.1000000000000001E-2</c:v>
                </c:pt>
              </c:numCache>
            </c:numRef>
          </c:val>
        </c:ser>
        <c:dLbls>
          <c:showLegendKey val="0"/>
          <c:showVal val="0"/>
          <c:showCatName val="0"/>
          <c:showSerName val="0"/>
          <c:showPercent val="0"/>
          <c:showBubbleSize val="0"/>
        </c:dLbls>
        <c:gapWidth val="150"/>
        <c:axId val="173928832"/>
        <c:axId val="173930368"/>
      </c:barChart>
      <c:catAx>
        <c:axId val="173928832"/>
        <c:scaling>
          <c:orientation val="minMax"/>
        </c:scaling>
        <c:delete val="0"/>
        <c:axPos val="b"/>
        <c:majorTickMark val="out"/>
        <c:minorTickMark val="none"/>
        <c:tickLblPos val="nextTo"/>
        <c:crossAx val="173930368"/>
        <c:crosses val="autoZero"/>
        <c:auto val="1"/>
        <c:lblAlgn val="ctr"/>
        <c:lblOffset val="100"/>
        <c:noMultiLvlLbl val="0"/>
      </c:catAx>
      <c:valAx>
        <c:axId val="173930368"/>
        <c:scaling>
          <c:orientation val="minMax"/>
        </c:scaling>
        <c:delete val="0"/>
        <c:axPos val="l"/>
        <c:majorGridlines/>
        <c:numFmt formatCode="0.0%" sourceLinked="1"/>
        <c:majorTickMark val="out"/>
        <c:minorTickMark val="none"/>
        <c:tickLblPos val="nextTo"/>
        <c:crossAx val="173928832"/>
        <c:crosses val="autoZero"/>
        <c:crossBetween val="between"/>
      </c:valAx>
    </c:plotArea>
    <c:legend>
      <c:legendPos val="r"/>
      <c:layout>
        <c:manualLayout>
          <c:xMode val="edge"/>
          <c:yMode val="edge"/>
          <c:x val="0.83809813156917112"/>
          <c:y val="0.11538189525472491"/>
          <c:w val="0.16190186843082971"/>
          <c:h val="0.55484532006720921"/>
        </c:manualLayout>
      </c:layout>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Average Rating of Overall Quality of Care</a:t>
            </a:r>
          </a:p>
        </c:rich>
      </c:tx>
      <c:layout/>
      <c:overlay val="0"/>
    </c:title>
    <c:autoTitleDeleted val="0"/>
    <c:plotArea>
      <c:layout/>
      <c:lineChart>
        <c:grouping val="standard"/>
        <c:varyColors val="0"/>
        <c:ser>
          <c:idx val="0"/>
          <c:order val="0"/>
          <c:tx>
            <c:strRef>
              <c:f>Sheet1!$B$1</c:f>
              <c:strCache>
                <c:ptCount val="1"/>
                <c:pt idx="0">
                  <c:v>Column1</c:v>
                </c:pt>
              </c:strCache>
            </c:strRef>
          </c:tx>
          <c:marker>
            <c:symbol val="none"/>
          </c:marker>
          <c:dLbls>
            <c:dLbl>
              <c:idx val="0"/>
              <c:layout>
                <c:manualLayout>
                  <c:x val="-2.6863973789819195E-2"/>
                  <c:y val="-3.1164967536952616E-2"/>
                </c:manualLayout>
              </c:layout>
              <c:dLblPos val="r"/>
              <c:showLegendKey val="0"/>
              <c:showVal val="1"/>
              <c:showCatName val="0"/>
              <c:showSerName val="0"/>
              <c:showPercent val="0"/>
              <c:showBubbleSize val="0"/>
            </c:dLbl>
            <c:dLbl>
              <c:idx val="1"/>
              <c:layout>
                <c:manualLayout>
                  <c:x val="-2.6863973789819195E-2"/>
                  <c:y val="4.1817488603398262E-2"/>
                </c:manualLayout>
              </c:layout>
              <c:dLblPos val="r"/>
              <c:showLegendKey val="0"/>
              <c:showVal val="1"/>
              <c:showCatName val="0"/>
              <c:showSerName val="0"/>
              <c:showPercent val="0"/>
              <c:showBubbleSize val="0"/>
            </c:dLbl>
            <c:dLbl>
              <c:idx val="2"/>
              <c:layout>
                <c:manualLayout>
                  <c:x val="-3.7691506659115408E-2"/>
                  <c:y val="-1.7129879817654372E-2"/>
                </c:manualLayout>
              </c:layout>
              <c:dLblPos val="r"/>
              <c:showLegendKey val="0"/>
              <c:showVal val="1"/>
              <c:showCatName val="0"/>
              <c:showSerName val="0"/>
              <c:showPercent val="0"/>
              <c:showBubbleSize val="0"/>
            </c:dLbl>
            <c:dLbl>
              <c:idx val="4"/>
              <c:layout>
                <c:manualLayout>
                  <c:x val="-2.0676933944741824E-2"/>
                  <c:y val="-2.5550932449233319E-2"/>
                </c:manualLayout>
              </c:layout>
              <c:dLblPos val="r"/>
              <c:showLegendKey val="0"/>
              <c:showVal val="1"/>
              <c:showCatName val="0"/>
              <c:showSerName val="0"/>
              <c:showPercent val="0"/>
              <c:showBubbleSize val="0"/>
            </c:dLbl>
            <c:dLbl>
              <c:idx val="5"/>
              <c:layout>
                <c:manualLayout>
                  <c:x val="-2.9957554609618114E-2"/>
                  <c:y val="2.7782400884100014E-2"/>
                </c:manualLayout>
              </c:layout>
              <c:dLblPos val="r"/>
              <c:showLegendKey val="0"/>
              <c:showVal val="1"/>
              <c:showCatName val="0"/>
              <c:showSerName val="0"/>
              <c:showPercent val="0"/>
              <c:showBubbleSize val="0"/>
            </c:dLbl>
            <c:dLbl>
              <c:idx val="6"/>
              <c:layout>
                <c:manualLayout>
                  <c:x val="-2.6863973789819195E-2"/>
                  <c:y val="-2.8357949993092969E-2"/>
                </c:manualLayout>
              </c:layout>
              <c:dLblPos val="r"/>
              <c:showLegendKey val="0"/>
              <c:showVal val="1"/>
              <c:showCatName val="0"/>
              <c:showSerName val="0"/>
              <c:showPercent val="0"/>
              <c:showBubbleSize val="0"/>
            </c:dLbl>
            <c:dLbl>
              <c:idx val="7"/>
              <c:layout>
                <c:manualLayout>
                  <c:x val="-2.3770392970020277E-2"/>
                  <c:y val="2.7782400884100014E-2"/>
                </c:manualLayout>
              </c:layout>
              <c:dLblPos val="r"/>
              <c:showLegendKey val="0"/>
              <c:showVal val="1"/>
              <c:showCatName val="0"/>
              <c:showSerName val="0"/>
              <c:showPercent val="0"/>
              <c:showBubbleSize val="0"/>
            </c:dLbl>
            <c:dLbl>
              <c:idx val="8"/>
              <c:layout>
                <c:manualLayout>
                  <c:x val="-2.3770392970020277E-2"/>
                  <c:y val="3.0589418427959664E-2"/>
                </c:manualLayout>
              </c:layout>
              <c:dLblPos val="r"/>
              <c:showLegendKey val="0"/>
              <c:showVal val="1"/>
              <c:showCatName val="0"/>
              <c:showSerName val="0"/>
              <c:showPercent val="0"/>
              <c:showBubbleSize val="0"/>
            </c:dLbl>
            <c:dLbl>
              <c:idx val="9"/>
              <c:layout>
                <c:manualLayout>
                  <c:x val="-2.6863973789819341E-2"/>
                  <c:y val="3.0589418427959768E-2"/>
                </c:manualLayout>
              </c:layout>
              <c:dLblPos val="r"/>
              <c:showLegendKey val="0"/>
              <c:showVal val="1"/>
              <c:showCatName val="0"/>
              <c:showSerName val="0"/>
              <c:showPercent val="0"/>
              <c:showBubbleSize val="0"/>
            </c:dLbl>
            <c:dLbl>
              <c:idx val="10"/>
              <c:layout>
                <c:manualLayout>
                  <c:x val="-2.6863973789819307E-2"/>
                  <c:y val="3.9010471059538608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Sheet1!$A$2:$A$12</c:f>
              <c:strCache>
                <c:ptCount val="11"/>
                <c:pt idx="0">
                  <c:v>Student
Clinics</c:v>
                </c:pt>
                <c:pt idx="1">
                  <c:v>FP</c:v>
                </c:pt>
                <c:pt idx="2">
                  <c:v>GE</c:v>
                </c:pt>
                <c:pt idx="3">
                  <c:v>GPE</c:v>
                </c:pt>
                <c:pt idx="4">
                  <c:v>GPR</c:v>
                </c:pt>
                <c:pt idx="5">
                  <c:v>Hialeah</c:v>
                </c:pt>
                <c:pt idx="6">
                  <c:v>OM</c:v>
                </c:pt>
                <c:pt idx="7">
                  <c:v>OR</c:v>
                </c:pt>
                <c:pt idx="8">
                  <c:v>OS</c:v>
                </c:pt>
                <c:pt idx="9">
                  <c:v>PD</c:v>
                </c:pt>
                <c:pt idx="10">
                  <c:v>SP</c:v>
                </c:pt>
              </c:strCache>
            </c:strRef>
          </c:cat>
          <c:val>
            <c:numRef>
              <c:f>Sheet1!$B$2:$B$12</c:f>
              <c:numCache>
                <c:formatCode>0.00</c:formatCode>
                <c:ptCount val="11"/>
                <c:pt idx="0">
                  <c:v>4.75</c:v>
                </c:pt>
                <c:pt idx="1">
                  <c:v>4.7</c:v>
                </c:pt>
                <c:pt idx="2">
                  <c:v>4.6900000000000004</c:v>
                </c:pt>
                <c:pt idx="3">
                  <c:v>4.76</c:v>
                </c:pt>
                <c:pt idx="4">
                  <c:v>4.8099999999999996</c:v>
                </c:pt>
                <c:pt idx="5">
                  <c:v>4.57</c:v>
                </c:pt>
                <c:pt idx="6">
                  <c:v>4.75</c:v>
                </c:pt>
                <c:pt idx="7">
                  <c:v>4.67</c:v>
                </c:pt>
                <c:pt idx="8">
                  <c:v>4.49</c:v>
                </c:pt>
                <c:pt idx="9">
                  <c:v>4.6100000000000003</c:v>
                </c:pt>
                <c:pt idx="10">
                  <c:v>4.6399999999999997</c:v>
                </c:pt>
              </c:numCache>
            </c:numRef>
          </c:val>
          <c:smooth val="0"/>
        </c:ser>
        <c:dLbls>
          <c:showLegendKey val="0"/>
          <c:showVal val="1"/>
          <c:showCatName val="0"/>
          <c:showSerName val="0"/>
          <c:showPercent val="0"/>
          <c:showBubbleSize val="0"/>
        </c:dLbls>
        <c:marker val="1"/>
        <c:smooth val="0"/>
        <c:axId val="173941888"/>
        <c:axId val="173953024"/>
      </c:lineChart>
      <c:catAx>
        <c:axId val="173941888"/>
        <c:scaling>
          <c:orientation val="minMax"/>
        </c:scaling>
        <c:delete val="0"/>
        <c:axPos val="b"/>
        <c:majorTickMark val="out"/>
        <c:minorTickMark val="none"/>
        <c:tickLblPos val="nextTo"/>
        <c:crossAx val="173953024"/>
        <c:crosses val="autoZero"/>
        <c:auto val="1"/>
        <c:lblAlgn val="ctr"/>
        <c:lblOffset val="100"/>
        <c:noMultiLvlLbl val="0"/>
      </c:catAx>
      <c:valAx>
        <c:axId val="173953024"/>
        <c:scaling>
          <c:orientation val="minMax"/>
          <c:max val="5"/>
          <c:min val="3"/>
        </c:scaling>
        <c:delete val="0"/>
        <c:axPos val="l"/>
        <c:majorGridlines/>
        <c:numFmt formatCode="0.00" sourceLinked="1"/>
        <c:majorTickMark val="out"/>
        <c:minorTickMark val="none"/>
        <c:tickLblPos val="nextTo"/>
        <c:crossAx val="173941888"/>
        <c:crosses val="autoZero"/>
        <c:crossBetween val="between"/>
        <c:majorUnit val="0.5"/>
      </c:valAx>
    </c:plotArea>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Treatment by Dental Care Provider</a:t>
            </a:r>
          </a:p>
        </c:rich>
      </c:tx>
      <c:layout/>
      <c:overlay val="0"/>
    </c:title>
    <c:autoTitleDeleted val="0"/>
    <c:plotArea>
      <c:layout/>
      <c:barChart>
        <c:barDir val="col"/>
        <c:grouping val="clustered"/>
        <c:varyColors val="0"/>
        <c:ser>
          <c:idx val="0"/>
          <c:order val="0"/>
          <c:tx>
            <c:strRef>
              <c:f>Sheet1!$B$1</c:f>
              <c:strCache>
                <c:ptCount val="1"/>
                <c:pt idx="0">
                  <c:v>Student Clinics</c:v>
                </c:pt>
              </c:strCache>
            </c:strRef>
          </c:tx>
          <c:invertIfNegative val="0"/>
          <c:cat>
            <c:strRef>
              <c:f>Sheet1!$A$2:$A$6</c:f>
              <c:strCache>
                <c:ptCount val="5"/>
                <c:pt idx="0">
                  <c:v>5
always considerate</c:v>
                </c:pt>
                <c:pt idx="1">
                  <c:v>4</c:v>
                </c:pt>
                <c:pt idx="2">
                  <c:v>3
neutral</c:v>
                </c:pt>
                <c:pt idx="3">
                  <c:v>2</c:v>
                </c:pt>
                <c:pt idx="4">
                  <c:v>1
usually rude</c:v>
                </c:pt>
              </c:strCache>
            </c:strRef>
          </c:cat>
          <c:val>
            <c:numRef>
              <c:f>Sheet1!$B$2:$B$6</c:f>
              <c:numCache>
                <c:formatCode>0.0%</c:formatCode>
                <c:ptCount val="5"/>
                <c:pt idx="0">
                  <c:v>0.97299999999999998</c:v>
                </c:pt>
                <c:pt idx="1">
                  <c:v>1.4E-2</c:v>
                </c:pt>
                <c:pt idx="2">
                  <c:v>8.9999999999999993E-3</c:v>
                </c:pt>
                <c:pt idx="3">
                  <c:v>2E-3</c:v>
                </c:pt>
                <c:pt idx="4">
                  <c:v>2E-3</c:v>
                </c:pt>
              </c:numCache>
            </c:numRef>
          </c:val>
        </c:ser>
        <c:ser>
          <c:idx val="1"/>
          <c:order val="1"/>
          <c:tx>
            <c:strRef>
              <c:f>Sheet1!$C$1</c:f>
              <c:strCache>
                <c:ptCount val="1"/>
                <c:pt idx="0">
                  <c:v>Faculty Practice</c:v>
                </c:pt>
              </c:strCache>
            </c:strRef>
          </c:tx>
          <c:spPr>
            <a:solidFill>
              <a:schemeClr val="accent6"/>
            </a:solidFill>
            <a:ln>
              <a:solidFill>
                <a:schemeClr val="accent6"/>
              </a:solidFill>
            </a:ln>
          </c:spPr>
          <c:invertIfNegative val="0"/>
          <c:cat>
            <c:strRef>
              <c:f>Sheet1!$A$2:$A$6</c:f>
              <c:strCache>
                <c:ptCount val="5"/>
                <c:pt idx="0">
                  <c:v>5
always considerate</c:v>
                </c:pt>
                <c:pt idx="1">
                  <c:v>4</c:v>
                </c:pt>
                <c:pt idx="2">
                  <c:v>3
neutral</c:v>
                </c:pt>
                <c:pt idx="3">
                  <c:v>2</c:v>
                </c:pt>
                <c:pt idx="4">
                  <c:v>1
usually rude</c:v>
                </c:pt>
              </c:strCache>
            </c:strRef>
          </c:cat>
          <c:val>
            <c:numRef>
              <c:f>Sheet1!$C$2:$C$6</c:f>
              <c:numCache>
                <c:formatCode>0.0%</c:formatCode>
                <c:ptCount val="5"/>
                <c:pt idx="0">
                  <c:v>0.95699999999999996</c:v>
                </c:pt>
                <c:pt idx="1">
                  <c:v>4.2999999999999997E-2</c:v>
                </c:pt>
                <c:pt idx="2">
                  <c:v>0</c:v>
                </c:pt>
                <c:pt idx="3">
                  <c:v>0</c:v>
                </c:pt>
                <c:pt idx="4">
                  <c:v>0</c:v>
                </c:pt>
              </c:numCache>
            </c:numRef>
          </c:val>
        </c:ser>
        <c:ser>
          <c:idx val="2"/>
          <c:order val="2"/>
          <c:tx>
            <c:strRef>
              <c:f>Sheet1!$D$1</c:f>
              <c:strCache>
                <c:ptCount val="1"/>
                <c:pt idx="0">
                  <c:v>Graduate Endodontics</c:v>
                </c:pt>
              </c:strCache>
            </c:strRef>
          </c:tx>
          <c:invertIfNegative val="0"/>
          <c:cat>
            <c:strRef>
              <c:f>Sheet1!$A$2:$A$6</c:f>
              <c:strCache>
                <c:ptCount val="5"/>
                <c:pt idx="0">
                  <c:v>5
always considerate</c:v>
                </c:pt>
                <c:pt idx="1">
                  <c:v>4</c:v>
                </c:pt>
                <c:pt idx="2">
                  <c:v>3
neutral</c:v>
                </c:pt>
                <c:pt idx="3">
                  <c:v>2</c:v>
                </c:pt>
                <c:pt idx="4">
                  <c:v>1
usually rude</c:v>
                </c:pt>
              </c:strCache>
            </c:strRef>
          </c:cat>
          <c:val>
            <c:numRef>
              <c:f>Sheet1!$D$2:$D$6</c:f>
              <c:numCache>
                <c:formatCode>0.0%</c:formatCode>
                <c:ptCount val="5"/>
                <c:pt idx="0">
                  <c:v>0.94499999999999995</c:v>
                </c:pt>
                <c:pt idx="1">
                  <c:v>3.5999999999999997E-2</c:v>
                </c:pt>
                <c:pt idx="2">
                  <c:v>1.7999999999999999E-2</c:v>
                </c:pt>
                <c:pt idx="3">
                  <c:v>0</c:v>
                </c:pt>
                <c:pt idx="4">
                  <c:v>0</c:v>
                </c:pt>
              </c:numCache>
            </c:numRef>
          </c:val>
        </c:ser>
        <c:ser>
          <c:idx val="3"/>
          <c:order val="3"/>
          <c:tx>
            <c:strRef>
              <c:f>Sheet1!$E$1</c:f>
              <c:strCache>
                <c:ptCount val="1"/>
                <c:pt idx="0">
                  <c:v>Grad Periodontics</c:v>
                </c:pt>
              </c:strCache>
            </c:strRef>
          </c:tx>
          <c:spPr>
            <a:solidFill>
              <a:schemeClr val="tx2"/>
            </a:solidFill>
            <a:ln>
              <a:solidFill>
                <a:schemeClr val="tx2"/>
              </a:solidFill>
            </a:ln>
          </c:spPr>
          <c:invertIfNegative val="0"/>
          <c:cat>
            <c:strRef>
              <c:f>Sheet1!$A$2:$A$6</c:f>
              <c:strCache>
                <c:ptCount val="5"/>
                <c:pt idx="0">
                  <c:v>5
always considerate</c:v>
                </c:pt>
                <c:pt idx="1">
                  <c:v>4</c:v>
                </c:pt>
                <c:pt idx="2">
                  <c:v>3
neutral</c:v>
                </c:pt>
                <c:pt idx="3">
                  <c:v>2</c:v>
                </c:pt>
                <c:pt idx="4">
                  <c:v>1
usually rude</c:v>
                </c:pt>
              </c:strCache>
            </c:strRef>
          </c:cat>
          <c:val>
            <c:numRef>
              <c:f>Sheet1!$E$2:$E$6</c:f>
              <c:numCache>
                <c:formatCode>0.0%</c:formatCode>
                <c:ptCount val="5"/>
                <c:pt idx="0">
                  <c:v>0.96599999999999997</c:v>
                </c:pt>
                <c:pt idx="1">
                  <c:v>0</c:v>
                </c:pt>
                <c:pt idx="2">
                  <c:v>3.4000000000000002E-2</c:v>
                </c:pt>
                <c:pt idx="3">
                  <c:v>0</c:v>
                </c:pt>
                <c:pt idx="4">
                  <c:v>0</c:v>
                </c:pt>
              </c:numCache>
            </c:numRef>
          </c:val>
        </c:ser>
        <c:ser>
          <c:idx val="4"/>
          <c:order val="4"/>
          <c:tx>
            <c:strRef>
              <c:f>Sheet1!$F$1</c:f>
              <c:strCache>
                <c:ptCount val="1"/>
                <c:pt idx="0">
                  <c:v>Grad Prosthodontics</c:v>
                </c:pt>
              </c:strCache>
            </c:strRef>
          </c:tx>
          <c:spPr>
            <a:solidFill>
              <a:schemeClr val="accent1">
                <a:lumMod val="20000"/>
                <a:lumOff val="80000"/>
              </a:schemeClr>
            </a:solidFill>
            <a:ln>
              <a:solidFill>
                <a:schemeClr val="accent1">
                  <a:lumMod val="20000"/>
                  <a:lumOff val="80000"/>
                </a:schemeClr>
              </a:solidFill>
            </a:ln>
          </c:spPr>
          <c:invertIfNegative val="0"/>
          <c:cat>
            <c:strRef>
              <c:f>Sheet1!$A$2:$A$6</c:f>
              <c:strCache>
                <c:ptCount val="5"/>
                <c:pt idx="0">
                  <c:v>5
always considerate</c:v>
                </c:pt>
                <c:pt idx="1">
                  <c:v>4</c:v>
                </c:pt>
                <c:pt idx="2">
                  <c:v>3
neutral</c:v>
                </c:pt>
                <c:pt idx="3">
                  <c:v>2</c:v>
                </c:pt>
                <c:pt idx="4">
                  <c:v>1
usually rude</c:v>
                </c:pt>
              </c:strCache>
            </c:strRef>
          </c:cat>
          <c:val>
            <c:numRef>
              <c:f>Sheet1!$F$2:$F$6</c:f>
              <c:numCache>
                <c:formatCode>0.0%</c:formatCode>
                <c:ptCount val="5"/>
                <c:pt idx="0">
                  <c:v>1</c:v>
                </c:pt>
                <c:pt idx="1">
                  <c:v>0</c:v>
                </c:pt>
                <c:pt idx="2">
                  <c:v>0</c:v>
                </c:pt>
                <c:pt idx="3">
                  <c:v>0</c:v>
                </c:pt>
                <c:pt idx="4">
                  <c:v>0</c:v>
                </c:pt>
              </c:numCache>
            </c:numRef>
          </c:val>
        </c:ser>
        <c:ser>
          <c:idx val="5"/>
          <c:order val="5"/>
          <c:tx>
            <c:strRef>
              <c:f>Sheet1!$G$1</c:f>
              <c:strCache>
                <c:ptCount val="1"/>
                <c:pt idx="0">
                  <c:v>Hialeah</c:v>
                </c:pt>
              </c:strCache>
            </c:strRef>
          </c:tx>
          <c:spPr>
            <a:solidFill>
              <a:schemeClr val="accent6">
                <a:lumMod val="60000"/>
                <a:lumOff val="40000"/>
              </a:schemeClr>
            </a:solidFill>
            <a:ln>
              <a:solidFill>
                <a:schemeClr val="accent6">
                  <a:lumMod val="60000"/>
                  <a:lumOff val="40000"/>
                </a:schemeClr>
              </a:solidFill>
            </a:ln>
          </c:spPr>
          <c:invertIfNegative val="0"/>
          <c:cat>
            <c:strRef>
              <c:f>Sheet1!$A$2:$A$6</c:f>
              <c:strCache>
                <c:ptCount val="5"/>
                <c:pt idx="0">
                  <c:v>5
always considerate</c:v>
                </c:pt>
                <c:pt idx="1">
                  <c:v>4</c:v>
                </c:pt>
                <c:pt idx="2">
                  <c:v>3
neutral</c:v>
                </c:pt>
                <c:pt idx="3">
                  <c:v>2</c:v>
                </c:pt>
                <c:pt idx="4">
                  <c:v>1
usually rude</c:v>
                </c:pt>
              </c:strCache>
            </c:strRef>
          </c:cat>
          <c:val>
            <c:numRef>
              <c:f>Sheet1!$G$2:$G$6</c:f>
              <c:numCache>
                <c:formatCode>0.0%</c:formatCode>
                <c:ptCount val="5"/>
                <c:pt idx="0">
                  <c:v>0.89600000000000002</c:v>
                </c:pt>
                <c:pt idx="1">
                  <c:v>9.0999999999999998E-2</c:v>
                </c:pt>
                <c:pt idx="2">
                  <c:v>1.2999999999999999E-2</c:v>
                </c:pt>
                <c:pt idx="3">
                  <c:v>0</c:v>
                </c:pt>
                <c:pt idx="4">
                  <c:v>0</c:v>
                </c:pt>
              </c:numCache>
            </c:numRef>
          </c:val>
        </c:ser>
        <c:ser>
          <c:idx val="6"/>
          <c:order val="6"/>
          <c:tx>
            <c:strRef>
              <c:f>Sheet1!$H$1</c:f>
              <c:strCache>
                <c:ptCount val="1"/>
                <c:pt idx="0">
                  <c:v>Oral Medicine</c:v>
                </c:pt>
              </c:strCache>
            </c:strRef>
          </c:tx>
          <c:spPr>
            <a:solidFill>
              <a:schemeClr val="accent3">
                <a:lumMod val="50000"/>
              </a:schemeClr>
            </a:solidFill>
            <a:ln>
              <a:solidFill>
                <a:schemeClr val="accent3">
                  <a:lumMod val="50000"/>
                </a:schemeClr>
              </a:solidFill>
            </a:ln>
          </c:spPr>
          <c:invertIfNegative val="0"/>
          <c:cat>
            <c:strRef>
              <c:f>Sheet1!$A$2:$A$6</c:f>
              <c:strCache>
                <c:ptCount val="5"/>
                <c:pt idx="0">
                  <c:v>5
always considerate</c:v>
                </c:pt>
                <c:pt idx="1">
                  <c:v>4</c:v>
                </c:pt>
                <c:pt idx="2">
                  <c:v>3
neutral</c:v>
                </c:pt>
                <c:pt idx="3">
                  <c:v>2</c:v>
                </c:pt>
                <c:pt idx="4">
                  <c:v>1
usually rude</c:v>
                </c:pt>
              </c:strCache>
            </c:strRef>
          </c:cat>
          <c:val>
            <c:numRef>
              <c:f>Sheet1!$H$2:$H$6</c:f>
              <c:numCache>
                <c:formatCode>0.0%</c:formatCode>
                <c:ptCount val="5"/>
                <c:pt idx="0">
                  <c:v>1</c:v>
                </c:pt>
                <c:pt idx="1">
                  <c:v>0</c:v>
                </c:pt>
                <c:pt idx="2">
                  <c:v>0</c:v>
                </c:pt>
                <c:pt idx="3">
                  <c:v>0</c:v>
                </c:pt>
                <c:pt idx="4">
                  <c:v>0</c:v>
                </c:pt>
              </c:numCache>
            </c:numRef>
          </c:val>
        </c:ser>
        <c:ser>
          <c:idx val="7"/>
          <c:order val="7"/>
          <c:tx>
            <c:strRef>
              <c:f>Sheet1!$I$1</c:f>
              <c:strCache>
                <c:ptCount val="1"/>
                <c:pt idx="0">
                  <c:v>Orthodontics</c:v>
                </c:pt>
              </c:strCache>
            </c:strRef>
          </c:tx>
          <c:spPr>
            <a:solidFill>
              <a:srgbClr val="0070C0"/>
            </a:solidFill>
            <a:ln>
              <a:solidFill>
                <a:srgbClr val="0070C0"/>
              </a:solidFill>
            </a:ln>
          </c:spPr>
          <c:invertIfNegative val="0"/>
          <c:cat>
            <c:strRef>
              <c:f>Sheet1!$A$2:$A$6</c:f>
              <c:strCache>
                <c:ptCount val="5"/>
                <c:pt idx="0">
                  <c:v>5
always considerate</c:v>
                </c:pt>
                <c:pt idx="1">
                  <c:v>4</c:v>
                </c:pt>
                <c:pt idx="2">
                  <c:v>3
neutral</c:v>
                </c:pt>
                <c:pt idx="3">
                  <c:v>2</c:v>
                </c:pt>
                <c:pt idx="4">
                  <c:v>1
usually rude</c:v>
                </c:pt>
              </c:strCache>
            </c:strRef>
          </c:cat>
          <c:val>
            <c:numRef>
              <c:f>Sheet1!$I$2:$I$6</c:f>
              <c:numCache>
                <c:formatCode>0.0%</c:formatCode>
                <c:ptCount val="5"/>
                <c:pt idx="0">
                  <c:v>0.94499999999999995</c:v>
                </c:pt>
                <c:pt idx="1">
                  <c:v>5.5E-2</c:v>
                </c:pt>
                <c:pt idx="2">
                  <c:v>0</c:v>
                </c:pt>
                <c:pt idx="3">
                  <c:v>0</c:v>
                </c:pt>
                <c:pt idx="4">
                  <c:v>0</c:v>
                </c:pt>
              </c:numCache>
            </c:numRef>
          </c:val>
        </c:ser>
        <c:ser>
          <c:idx val="8"/>
          <c:order val="8"/>
          <c:tx>
            <c:strRef>
              <c:f>Sheet1!$J$1</c:f>
              <c:strCache>
                <c:ptCount val="1"/>
                <c:pt idx="0">
                  <c:v>Oral Surgery</c:v>
                </c:pt>
              </c:strCache>
            </c:strRef>
          </c:tx>
          <c:invertIfNegative val="0"/>
          <c:cat>
            <c:strRef>
              <c:f>Sheet1!$A$2:$A$6</c:f>
              <c:strCache>
                <c:ptCount val="5"/>
                <c:pt idx="0">
                  <c:v>5
always considerate</c:v>
                </c:pt>
                <c:pt idx="1">
                  <c:v>4</c:v>
                </c:pt>
                <c:pt idx="2">
                  <c:v>3
neutral</c:v>
                </c:pt>
                <c:pt idx="3">
                  <c:v>2</c:v>
                </c:pt>
                <c:pt idx="4">
                  <c:v>1
usually rude</c:v>
                </c:pt>
              </c:strCache>
            </c:strRef>
          </c:cat>
          <c:val>
            <c:numRef>
              <c:f>Sheet1!$J$2:$J$6</c:f>
              <c:numCache>
                <c:formatCode>0.0%</c:formatCode>
                <c:ptCount val="5"/>
                <c:pt idx="0">
                  <c:v>0.84499999999999997</c:v>
                </c:pt>
                <c:pt idx="1">
                  <c:v>0.13800000000000001</c:v>
                </c:pt>
                <c:pt idx="2">
                  <c:v>0</c:v>
                </c:pt>
                <c:pt idx="3">
                  <c:v>1.7000000000000001E-2</c:v>
                </c:pt>
                <c:pt idx="4">
                  <c:v>0</c:v>
                </c:pt>
              </c:numCache>
            </c:numRef>
          </c:val>
        </c:ser>
        <c:ser>
          <c:idx val="9"/>
          <c:order val="9"/>
          <c:tx>
            <c:strRef>
              <c:f>Sheet1!$K$1</c:f>
              <c:strCache>
                <c:ptCount val="1"/>
                <c:pt idx="0">
                  <c:v>Pediatrics</c:v>
                </c:pt>
              </c:strCache>
            </c:strRef>
          </c:tx>
          <c:invertIfNegative val="0"/>
          <c:cat>
            <c:strRef>
              <c:f>Sheet1!$A$2:$A$6</c:f>
              <c:strCache>
                <c:ptCount val="5"/>
                <c:pt idx="0">
                  <c:v>5
always considerate</c:v>
                </c:pt>
                <c:pt idx="1">
                  <c:v>4</c:v>
                </c:pt>
                <c:pt idx="2">
                  <c:v>3
neutral</c:v>
                </c:pt>
                <c:pt idx="3">
                  <c:v>2</c:v>
                </c:pt>
                <c:pt idx="4">
                  <c:v>1
usually rude</c:v>
                </c:pt>
              </c:strCache>
            </c:strRef>
          </c:cat>
          <c:val>
            <c:numRef>
              <c:f>Sheet1!$K$2:$K$6</c:f>
              <c:numCache>
                <c:formatCode>0.0%</c:formatCode>
                <c:ptCount val="5"/>
                <c:pt idx="0">
                  <c:v>0.83299999999999996</c:v>
                </c:pt>
                <c:pt idx="1">
                  <c:v>0.111</c:v>
                </c:pt>
                <c:pt idx="2">
                  <c:v>5.6000000000000001E-2</c:v>
                </c:pt>
                <c:pt idx="3">
                  <c:v>0</c:v>
                </c:pt>
                <c:pt idx="4">
                  <c:v>0</c:v>
                </c:pt>
              </c:numCache>
            </c:numRef>
          </c:val>
        </c:ser>
        <c:ser>
          <c:idx val="10"/>
          <c:order val="10"/>
          <c:tx>
            <c:strRef>
              <c:f>Sheet1!$L$1</c:f>
              <c:strCache>
                <c:ptCount val="1"/>
                <c:pt idx="0">
                  <c:v>St. Pete</c:v>
                </c:pt>
              </c:strCache>
            </c:strRef>
          </c:tx>
          <c:invertIfNegative val="0"/>
          <c:cat>
            <c:strRef>
              <c:f>Sheet1!$A$2:$A$6</c:f>
              <c:strCache>
                <c:ptCount val="5"/>
                <c:pt idx="0">
                  <c:v>5
always considerate</c:v>
                </c:pt>
                <c:pt idx="1">
                  <c:v>4</c:v>
                </c:pt>
                <c:pt idx="2">
                  <c:v>3
neutral</c:v>
                </c:pt>
                <c:pt idx="3">
                  <c:v>2</c:v>
                </c:pt>
                <c:pt idx="4">
                  <c:v>1
usually rude</c:v>
                </c:pt>
              </c:strCache>
            </c:strRef>
          </c:cat>
          <c:val>
            <c:numRef>
              <c:f>Sheet1!$L$2:$L$6</c:f>
              <c:numCache>
                <c:formatCode>0.0%</c:formatCode>
                <c:ptCount val="5"/>
                <c:pt idx="0">
                  <c:v>0.93799999999999994</c:v>
                </c:pt>
                <c:pt idx="1">
                  <c:v>6.3E-2</c:v>
                </c:pt>
                <c:pt idx="2">
                  <c:v>0</c:v>
                </c:pt>
                <c:pt idx="3">
                  <c:v>0</c:v>
                </c:pt>
                <c:pt idx="4">
                  <c:v>0</c:v>
                </c:pt>
              </c:numCache>
            </c:numRef>
          </c:val>
        </c:ser>
        <c:dLbls>
          <c:showLegendKey val="0"/>
          <c:showVal val="0"/>
          <c:showCatName val="0"/>
          <c:showSerName val="0"/>
          <c:showPercent val="0"/>
          <c:showBubbleSize val="0"/>
        </c:dLbls>
        <c:gapWidth val="150"/>
        <c:axId val="174301184"/>
        <c:axId val="174302720"/>
      </c:barChart>
      <c:catAx>
        <c:axId val="174301184"/>
        <c:scaling>
          <c:orientation val="minMax"/>
        </c:scaling>
        <c:delete val="0"/>
        <c:axPos val="b"/>
        <c:numFmt formatCode="General" sourceLinked="1"/>
        <c:majorTickMark val="out"/>
        <c:minorTickMark val="none"/>
        <c:tickLblPos val="nextTo"/>
        <c:crossAx val="174302720"/>
        <c:crosses val="autoZero"/>
        <c:auto val="1"/>
        <c:lblAlgn val="ctr"/>
        <c:lblOffset val="100"/>
        <c:noMultiLvlLbl val="0"/>
      </c:catAx>
      <c:valAx>
        <c:axId val="174302720"/>
        <c:scaling>
          <c:orientation val="minMax"/>
          <c:max val="1"/>
        </c:scaling>
        <c:delete val="0"/>
        <c:axPos val="l"/>
        <c:majorGridlines/>
        <c:numFmt formatCode="0.0%" sourceLinked="1"/>
        <c:majorTickMark val="out"/>
        <c:minorTickMark val="none"/>
        <c:tickLblPos val="nextTo"/>
        <c:crossAx val="174301184"/>
        <c:crosses val="autoZero"/>
        <c:crossBetween val="between"/>
      </c:valAx>
    </c:plotArea>
    <c:legend>
      <c:legendPos val="r"/>
      <c:layout>
        <c:manualLayout>
          <c:xMode val="edge"/>
          <c:yMode val="edge"/>
          <c:x val="0.83735546244792791"/>
          <c:y val="0.11817129553366502"/>
          <c:w val="0.16264453755207203"/>
          <c:h val="0.55484532006720921"/>
        </c:manualLayout>
      </c:layout>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Average Rating of Treatment by Dental Care Provider</a:t>
            </a:r>
          </a:p>
          <a:p>
            <a:pPr>
              <a:defRPr/>
            </a:pPr>
            <a:endParaRPr lang="en-US"/>
          </a:p>
        </c:rich>
      </c:tx>
      <c:layout/>
      <c:overlay val="0"/>
    </c:title>
    <c:autoTitleDeleted val="0"/>
    <c:plotArea>
      <c:layout/>
      <c:lineChart>
        <c:grouping val="standard"/>
        <c:varyColors val="0"/>
        <c:ser>
          <c:idx val="0"/>
          <c:order val="0"/>
          <c:tx>
            <c:strRef>
              <c:f>Sheet1!$B$1</c:f>
              <c:strCache>
                <c:ptCount val="1"/>
                <c:pt idx="0">
                  <c:v>Column1</c:v>
                </c:pt>
              </c:strCache>
            </c:strRef>
          </c:tx>
          <c:marker>
            <c:symbol val="none"/>
          </c:marker>
          <c:dLbls>
            <c:dLbl>
              <c:idx val="0"/>
              <c:layout>
                <c:manualLayout>
                  <c:x val="-2.8239933422956276E-2"/>
                  <c:y val="-2.3639736499020774E-2"/>
                </c:manualLayout>
              </c:layout>
              <c:dLblPos val="r"/>
              <c:showLegendKey val="0"/>
              <c:showVal val="1"/>
              <c:showCatName val="0"/>
              <c:showSerName val="0"/>
              <c:showPercent val="0"/>
              <c:showBubbleSize val="0"/>
            </c:dLbl>
            <c:dLbl>
              <c:idx val="1"/>
              <c:layout>
                <c:manualLayout>
                  <c:x val="-2.1735868382305925E-2"/>
                  <c:y val="-2.3639736499020823E-2"/>
                </c:manualLayout>
              </c:layout>
              <c:dLblPos val="r"/>
              <c:showLegendKey val="0"/>
              <c:showVal val="1"/>
              <c:showCatName val="0"/>
              <c:showSerName val="0"/>
              <c:showPercent val="0"/>
              <c:showBubbleSize val="0"/>
            </c:dLbl>
            <c:dLbl>
              <c:idx val="2"/>
              <c:layout>
                <c:manualLayout>
                  <c:x val="-2.9865949683118877E-2"/>
                  <c:y val="-2.947489331886028E-2"/>
                </c:manualLayout>
              </c:layout>
              <c:dLblPos val="r"/>
              <c:showLegendKey val="0"/>
              <c:showVal val="1"/>
              <c:showCatName val="0"/>
              <c:showSerName val="0"/>
              <c:showPercent val="0"/>
              <c:showBubbleSize val="0"/>
            </c:dLbl>
            <c:dLbl>
              <c:idx val="3"/>
              <c:layout>
                <c:manualLayout>
                  <c:x val="-2.6613917162793783E-2"/>
                  <c:y val="-2.0722158089101005E-2"/>
                </c:manualLayout>
              </c:layout>
              <c:dLblPos val="r"/>
              <c:showLegendKey val="0"/>
              <c:showVal val="1"/>
              <c:showCatName val="0"/>
              <c:showSerName val="0"/>
              <c:showPercent val="0"/>
              <c:showBubbleSize val="0"/>
            </c:dLbl>
            <c:dLbl>
              <c:idx val="4"/>
              <c:layout>
                <c:manualLayout>
                  <c:x val="-2.4987900902631074E-2"/>
                  <c:y val="-3.239247172878007E-2"/>
                </c:manualLayout>
              </c:layout>
              <c:dLblPos val="r"/>
              <c:showLegendKey val="0"/>
              <c:showVal val="1"/>
              <c:showCatName val="0"/>
              <c:showSerName val="0"/>
              <c:showPercent val="0"/>
              <c:showBubbleSize val="0"/>
            </c:dLbl>
            <c:dLbl>
              <c:idx val="5"/>
              <c:layout>
                <c:manualLayout>
                  <c:x val="-2.82399334229563E-2"/>
                  <c:y val="-3.5310050138699804E-2"/>
                </c:manualLayout>
              </c:layout>
              <c:dLblPos val="r"/>
              <c:showLegendKey val="0"/>
              <c:showVal val="1"/>
              <c:showCatName val="0"/>
              <c:showSerName val="0"/>
              <c:showPercent val="0"/>
              <c:showBubbleSize val="0"/>
            </c:dLbl>
            <c:dLbl>
              <c:idx val="6"/>
              <c:layout>
                <c:manualLayout>
                  <c:x val="-2.6613917162793675E-2"/>
                  <c:y val="-2.6557314908940539E-2"/>
                </c:manualLayout>
              </c:layout>
              <c:dLblPos val="r"/>
              <c:showLegendKey val="0"/>
              <c:showVal val="1"/>
              <c:showCatName val="0"/>
              <c:showSerName val="0"/>
              <c:showPercent val="0"/>
              <c:showBubbleSize val="0"/>
            </c:dLbl>
            <c:dLbl>
              <c:idx val="7"/>
              <c:layout>
                <c:manualLayout>
                  <c:x val="-1.8483835861980668E-2"/>
                  <c:y val="-1.4887230999844932E-2"/>
                </c:manualLayout>
              </c:layout>
              <c:dLblPos val="r"/>
              <c:showLegendKey val="0"/>
              <c:showVal val="1"/>
              <c:showCatName val="0"/>
              <c:showSerName val="0"/>
              <c:showPercent val="0"/>
              <c:showBubbleSize val="0"/>
            </c:dLbl>
            <c:dLbl>
              <c:idx val="8"/>
              <c:layout>
                <c:manualLayout>
                  <c:x val="-1.848396389475707E-2"/>
                  <c:y val="-3.239247172878007E-2"/>
                </c:manualLayout>
              </c:layout>
              <c:dLblPos val="r"/>
              <c:showLegendKey val="0"/>
              <c:showVal val="1"/>
              <c:showCatName val="0"/>
              <c:showSerName val="0"/>
              <c:showPercent val="0"/>
              <c:showBubbleSize val="0"/>
            </c:dLbl>
            <c:dLbl>
              <c:idx val="9"/>
              <c:layout>
                <c:manualLayout>
                  <c:x val="-2.6613917162793675E-2"/>
                  <c:y val="3.4711831699374557E-2"/>
                </c:manualLayout>
              </c:layout>
              <c:dLblPos val="r"/>
              <c:showLegendKey val="0"/>
              <c:showVal val="1"/>
              <c:showCatName val="0"/>
              <c:showSerName val="0"/>
              <c:showPercent val="0"/>
              <c:showBubbleSize val="0"/>
            </c:dLbl>
            <c:dLbl>
              <c:idx val="10"/>
              <c:layout>
                <c:manualLayout>
                  <c:x val="-8.727738301005171E-3"/>
                  <c:y val="8.4536260100966931E-3"/>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Sheet1!$A$2:$A$12</c:f>
              <c:strCache>
                <c:ptCount val="11"/>
                <c:pt idx="0">
                  <c:v>Student
Clinics</c:v>
                </c:pt>
                <c:pt idx="1">
                  <c:v>FP</c:v>
                </c:pt>
                <c:pt idx="2">
                  <c:v>GE</c:v>
                </c:pt>
                <c:pt idx="3">
                  <c:v>GPE</c:v>
                </c:pt>
                <c:pt idx="4">
                  <c:v>GPR</c:v>
                </c:pt>
                <c:pt idx="5">
                  <c:v>Hialeah</c:v>
                </c:pt>
                <c:pt idx="6">
                  <c:v>OM</c:v>
                </c:pt>
                <c:pt idx="7">
                  <c:v>OR</c:v>
                </c:pt>
                <c:pt idx="8">
                  <c:v>OS</c:v>
                </c:pt>
                <c:pt idx="9">
                  <c:v>PD</c:v>
                </c:pt>
                <c:pt idx="10">
                  <c:v>SP</c:v>
                </c:pt>
              </c:strCache>
            </c:strRef>
          </c:cat>
          <c:val>
            <c:numRef>
              <c:f>Sheet1!$B$2:$B$12</c:f>
              <c:numCache>
                <c:formatCode>0.00</c:formatCode>
                <c:ptCount val="11"/>
                <c:pt idx="0">
                  <c:v>4.95</c:v>
                </c:pt>
                <c:pt idx="1">
                  <c:v>4.96</c:v>
                </c:pt>
                <c:pt idx="2">
                  <c:v>4.93</c:v>
                </c:pt>
                <c:pt idx="3">
                  <c:v>4.93</c:v>
                </c:pt>
                <c:pt idx="4">
                  <c:v>5</c:v>
                </c:pt>
                <c:pt idx="5">
                  <c:v>4.88</c:v>
                </c:pt>
                <c:pt idx="6">
                  <c:v>5</c:v>
                </c:pt>
                <c:pt idx="7">
                  <c:v>4.95</c:v>
                </c:pt>
                <c:pt idx="8">
                  <c:v>4.8099999999999996</c:v>
                </c:pt>
                <c:pt idx="9">
                  <c:v>4.78</c:v>
                </c:pt>
                <c:pt idx="10">
                  <c:v>4.9400000000000004</c:v>
                </c:pt>
              </c:numCache>
            </c:numRef>
          </c:val>
          <c:smooth val="0"/>
        </c:ser>
        <c:dLbls>
          <c:showLegendKey val="0"/>
          <c:showVal val="1"/>
          <c:showCatName val="0"/>
          <c:showSerName val="0"/>
          <c:showPercent val="0"/>
          <c:showBubbleSize val="0"/>
        </c:dLbls>
        <c:marker val="1"/>
        <c:smooth val="0"/>
        <c:axId val="174322432"/>
        <c:axId val="174325120"/>
      </c:lineChart>
      <c:catAx>
        <c:axId val="174322432"/>
        <c:scaling>
          <c:orientation val="minMax"/>
        </c:scaling>
        <c:delete val="0"/>
        <c:axPos val="b"/>
        <c:majorTickMark val="out"/>
        <c:minorTickMark val="none"/>
        <c:tickLblPos val="nextTo"/>
        <c:crossAx val="174325120"/>
        <c:crosses val="autoZero"/>
        <c:auto val="1"/>
        <c:lblAlgn val="ctr"/>
        <c:lblOffset val="100"/>
        <c:noMultiLvlLbl val="0"/>
      </c:catAx>
      <c:valAx>
        <c:axId val="174325120"/>
        <c:scaling>
          <c:orientation val="minMax"/>
          <c:max val="5"/>
          <c:min val="4"/>
        </c:scaling>
        <c:delete val="0"/>
        <c:axPos val="l"/>
        <c:majorGridlines/>
        <c:numFmt formatCode="0.00" sourceLinked="1"/>
        <c:majorTickMark val="out"/>
        <c:minorTickMark val="none"/>
        <c:tickLblPos val="nextTo"/>
        <c:crossAx val="174322432"/>
        <c:crosses val="autoZero"/>
        <c:crossBetween val="between"/>
        <c:majorUnit val="0.25"/>
      </c:valAx>
    </c:plotArea>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Treatment when Calling the College of Dentistry</a:t>
            </a:r>
          </a:p>
        </c:rich>
      </c:tx>
      <c:layout/>
      <c:overlay val="0"/>
    </c:title>
    <c:autoTitleDeleted val="0"/>
    <c:plotArea>
      <c:layout/>
      <c:barChart>
        <c:barDir val="col"/>
        <c:grouping val="clustered"/>
        <c:varyColors val="0"/>
        <c:ser>
          <c:idx val="0"/>
          <c:order val="0"/>
          <c:tx>
            <c:strRef>
              <c:f>Sheet1!$B$1</c:f>
              <c:strCache>
                <c:ptCount val="1"/>
                <c:pt idx="0">
                  <c:v>Student Clinics</c:v>
                </c:pt>
              </c:strCache>
            </c:strRef>
          </c:tx>
          <c:invertIfNegative val="0"/>
          <c:cat>
            <c:strRef>
              <c:f>Sheet1!$A$2:$A$6</c:f>
              <c:strCache>
                <c:ptCount val="5"/>
                <c:pt idx="0">
                  <c:v>5
always considerate</c:v>
                </c:pt>
                <c:pt idx="1">
                  <c:v>4</c:v>
                </c:pt>
                <c:pt idx="2">
                  <c:v>3
neutral</c:v>
                </c:pt>
                <c:pt idx="3">
                  <c:v>2</c:v>
                </c:pt>
                <c:pt idx="4">
                  <c:v>1
usually rude</c:v>
                </c:pt>
              </c:strCache>
            </c:strRef>
          </c:cat>
          <c:val>
            <c:numRef>
              <c:f>Sheet1!$B$2:$B$6</c:f>
              <c:numCache>
                <c:formatCode>0.0%</c:formatCode>
                <c:ptCount val="5"/>
                <c:pt idx="0">
                  <c:v>0.84399999999999997</c:v>
                </c:pt>
                <c:pt idx="1">
                  <c:v>0.122</c:v>
                </c:pt>
                <c:pt idx="2">
                  <c:v>2.8000000000000001E-2</c:v>
                </c:pt>
                <c:pt idx="3">
                  <c:v>7.0000000000000001E-3</c:v>
                </c:pt>
                <c:pt idx="4">
                  <c:v>0</c:v>
                </c:pt>
              </c:numCache>
            </c:numRef>
          </c:val>
        </c:ser>
        <c:ser>
          <c:idx val="1"/>
          <c:order val="1"/>
          <c:tx>
            <c:strRef>
              <c:f>Sheet1!$C$1</c:f>
              <c:strCache>
                <c:ptCount val="1"/>
                <c:pt idx="0">
                  <c:v>Faculty Practice</c:v>
                </c:pt>
              </c:strCache>
            </c:strRef>
          </c:tx>
          <c:spPr>
            <a:solidFill>
              <a:schemeClr val="accent6"/>
            </a:solidFill>
            <a:ln>
              <a:solidFill>
                <a:schemeClr val="accent6"/>
              </a:solidFill>
            </a:ln>
          </c:spPr>
          <c:invertIfNegative val="0"/>
          <c:cat>
            <c:strRef>
              <c:f>Sheet1!$A$2:$A$6</c:f>
              <c:strCache>
                <c:ptCount val="5"/>
                <c:pt idx="0">
                  <c:v>5
always considerate</c:v>
                </c:pt>
                <c:pt idx="1">
                  <c:v>4</c:v>
                </c:pt>
                <c:pt idx="2">
                  <c:v>3
neutral</c:v>
                </c:pt>
                <c:pt idx="3">
                  <c:v>2</c:v>
                </c:pt>
                <c:pt idx="4">
                  <c:v>1
usually rude</c:v>
                </c:pt>
              </c:strCache>
            </c:strRef>
          </c:cat>
          <c:val>
            <c:numRef>
              <c:f>Sheet1!$C$2:$C$6</c:f>
              <c:numCache>
                <c:formatCode>0.0%</c:formatCode>
                <c:ptCount val="5"/>
                <c:pt idx="0">
                  <c:v>0.82599999999999996</c:v>
                </c:pt>
                <c:pt idx="1">
                  <c:v>0.17399999999999999</c:v>
                </c:pt>
                <c:pt idx="2">
                  <c:v>0</c:v>
                </c:pt>
                <c:pt idx="3">
                  <c:v>7.0000000000000001E-3</c:v>
                </c:pt>
                <c:pt idx="4">
                  <c:v>0</c:v>
                </c:pt>
              </c:numCache>
            </c:numRef>
          </c:val>
        </c:ser>
        <c:ser>
          <c:idx val="2"/>
          <c:order val="2"/>
          <c:tx>
            <c:strRef>
              <c:f>Sheet1!$D$1</c:f>
              <c:strCache>
                <c:ptCount val="1"/>
                <c:pt idx="0">
                  <c:v>Graduate Endodontics</c:v>
                </c:pt>
              </c:strCache>
            </c:strRef>
          </c:tx>
          <c:invertIfNegative val="0"/>
          <c:cat>
            <c:strRef>
              <c:f>Sheet1!$A$2:$A$6</c:f>
              <c:strCache>
                <c:ptCount val="5"/>
                <c:pt idx="0">
                  <c:v>5
always considerate</c:v>
                </c:pt>
                <c:pt idx="1">
                  <c:v>4</c:v>
                </c:pt>
                <c:pt idx="2">
                  <c:v>3
neutral</c:v>
                </c:pt>
                <c:pt idx="3">
                  <c:v>2</c:v>
                </c:pt>
                <c:pt idx="4">
                  <c:v>1
usually rude</c:v>
                </c:pt>
              </c:strCache>
            </c:strRef>
          </c:cat>
          <c:val>
            <c:numRef>
              <c:f>Sheet1!$D$2:$D$6</c:f>
              <c:numCache>
                <c:formatCode>0.0%</c:formatCode>
                <c:ptCount val="5"/>
                <c:pt idx="0">
                  <c:v>0.90900000000000003</c:v>
                </c:pt>
                <c:pt idx="1">
                  <c:v>7.2999999999999995E-2</c:v>
                </c:pt>
                <c:pt idx="2">
                  <c:v>1.7999999999999999E-2</c:v>
                </c:pt>
                <c:pt idx="3">
                  <c:v>0</c:v>
                </c:pt>
                <c:pt idx="4">
                  <c:v>0</c:v>
                </c:pt>
              </c:numCache>
            </c:numRef>
          </c:val>
        </c:ser>
        <c:ser>
          <c:idx val="3"/>
          <c:order val="3"/>
          <c:tx>
            <c:strRef>
              <c:f>Sheet1!$E$1</c:f>
              <c:strCache>
                <c:ptCount val="1"/>
                <c:pt idx="0">
                  <c:v>Grad Periodontics</c:v>
                </c:pt>
              </c:strCache>
            </c:strRef>
          </c:tx>
          <c:spPr>
            <a:solidFill>
              <a:schemeClr val="tx2"/>
            </a:solidFill>
            <a:ln>
              <a:solidFill>
                <a:schemeClr val="tx2"/>
              </a:solidFill>
            </a:ln>
          </c:spPr>
          <c:invertIfNegative val="0"/>
          <c:cat>
            <c:strRef>
              <c:f>Sheet1!$A$2:$A$6</c:f>
              <c:strCache>
                <c:ptCount val="5"/>
                <c:pt idx="0">
                  <c:v>5
always considerate</c:v>
                </c:pt>
                <c:pt idx="1">
                  <c:v>4</c:v>
                </c:pt>
                <c:pt idx="2">
                  <c:v>3
neutral</c:v>
                </c:pt>
                <c:pt idx="3">
                  <c:v>2</c:v>
                </c:pt>
                <c:pt idx="4">
                  <c:v>1
usually rude</c:v>
                </c:pt>
              </c:strCache>
            </c:strRef>
          </c:cat>
          <c:val>
            <c:numRef>
              <c:f>Sheet1!$E$2:$E$6</c:f>
              <c:numCache>
                <c:formatCode>0.0%</c:formatCode>
                <c:ptCount val="5"/>
                <c:pt idx="0">
                  <c:v>0.82799999999999996</c:v>
                </c:pt>
                <c:pt idx="1">
                  <c:v>0.10299999999999999</c:v>
                </c:pt>
                <c:pt idx="2">
                  <c:v>6.9000000000000006E-2</c:v>
                </c:pt>
                <c:pt idx="3">
                  <c:v>0</c:v>
                </c:pt>
                <c:pt idx="4">
                  <c:v>0</c:v>
                </c:pt>
              </c:numCache>
            </c:numRef>
          </c:val>
        </c:ser>
        <c:ser>
          <c:idx val="4"/>
          <c:order val="4"/>
          <c:tx>
            <c:strRef>
              <c:f>Sheet1!$F$1</c:f>
              <c:strCache>
                <c:ptCount val="1"/>
                <c:pt idx="0">
                  <c:v>Grad Prosthodontics</c:v>
                </c:pt>
              </c:strCache>
            </c:strRef>
          </c:tx>
          <c:spPr>
            <a:solidFill>
              <a:schemeClr val="accent1">
                <a:lumMod val="20000"/>
                <a:lumOff val="80000"/>
              </a:schemeClr>
            </a:solidFill>
            <a:ln>
              <a:solidFill>
                <a:schemeClr val="accent1">
                  <a:lumMod val="20000"/>
                  <a:lumOff val="80000"/>
                </a:schemeClr>
              </a:solidFill>
            </a:ln>
          </c:spPr>
          <c:invertIfNegative val="0"/>
          <c:cat>
            <c:strRef>
              <c:f>Sheet1!$A$2:$A$6</c:f>
              <c:strCache>
                <c:ptCount val="5"/>
                <c:pt idx="0">
                  <c:v>5
always considerate</c:v>
                </c:pt>
                <c:pt idx="1">
                  <c:v>4</c:v>
                </c:pt>
                <c:pt idx="2">
                  <c:v>3
neutral</c:v>
                </c:pt>
                <c:pt idx="3">
                  <c:v>2</c:v>
                </c:pt>
                <c:pt idx="4">
                  <c:v>1
usually rude</c:v>
                </c:pt>
              </c:strCache>
            </c:strRef>
          </c:cat>
          <c:val>
            <c:numRef>
              <c:f>Sheet1!$F$2:$F$6</c:f>
              <c:numCache>
                <c:formatCode>0.0%</c:formatCode>
                <c:ptCount val="5"/>
                <c:pt idx="0">
                  <c:v>0.97399999999999998</c:v>
                </c:pt>
                <c:pt idx="1">
                  <c:v>0</c:v>
                </c:pt>
                <c:pt idx="2">
                  <c:v>2.5999999999999999E-2</c:v>
                </c:pt>
                <c:pt idx="3">
                  <c:v>0</c:v>
                </c:pt>
                <c:pt idx="4">
                  <c:v>0</c:v>
                </c:pt>
              </c:numCache>
            </c:numRef>
          </c:val>
        </c:ser>
        <c:ser>
          <c:idx val="5"/>
          <c:order val="5"/>
          <c:tx>
            <c:strRef>
              <c:f>Sheet1!$G$1</c:f>
              <c:strCache>
                <c:ptCount val="1"/>
                <c:pt idx="0">
                  <c:v>Hialeah</c:v>
                </c:pt>
              </c:strCache>
            </c:strRef>
          </c:tx>
          <c:spPr>
            <a:solidFill>
              <a:schemeClr val="accent6">
                <a:lumMod val="60000"/>
                <a:lumOff val="40000"/>
              </a:schemeClr>
            </a:solidFill>
            <a:ln>
              <a:solidFill>
                <a:schemeClr val="accent6">
                  <a:lumMod val="60000"/>
                  <a:lumOff val="40000"/>
                </a:schemeClr>
              </a:solidFill>
            </a:ln>
          </c:spPr>
          <c:invertIfNegative val="0"/>
          <c:cat>
            <c:strRef>
              <c:f>Sheet1!$A$2:$A$6</c:f>
              <c:strCache>
                <c:ptCount val="5"/>
                <c:pt idx="0">
                  <c:v>5
always considerate</c:v>
                </c:pt>
                <c:pt idx="1">
                  <c:v>4</c:v>
                </c:pt>
                <c:pt idx="2">
                  <c:v>3
neutral</c:v>
                </c:pt>
                <c:pt idx="3">
                  <c:v>2</c:v>
                </c:pt>
                <c:pt idx="4">
                  <c:v>1
usually rude</c:v>
                </c:pt>
              </c:strCache>
            </c:strRef>
          </c:cat>
          <c:val>
            <c:numRef>
              <c:f>Sheet1!$G$2:$G$6</c:f>
              <c:numCache>
                <c:formatCode>0.0%</c:formatCode>
                <c:ptCount val="5"/>
                <c:pt idx="0">
                  <c:v>0.90900000000000003</c:v>
                </c:pt>
                <c:pt idx="1">
                  <c:v>6.5000000000000002E-2</c:v>
                </c:pt>
                <c:pt idx="2">
                  <c:v>2.5999999999999999E-2</c:v>
                </c:pt>
                <c:pt idx="3">
                  <c:v>0</c:v>
                </c:pt>
                <c:pt idx="4">
                  <c:v>0</c:v>
                </c:pt>
              </c:numCache>
            </c:numRef>
          </c:val>
        </c:ser>
        <c:ser>
          <c:idx val="6"/>
          <c:order val="6"/>
          <c:tx>
            <c:strRef>
              <c:f>Sheet1!$H$1</c:f>
              <c:strCache>
                <c:ptCount val="1"/>
                <c:pt idx="0">
                  <c:v>Oral Medicine</c:v>
                </c:pt>
              </c:strCache>
            </c:strRef>
          </c:tx>
          <c:spPr>
            <a:solidFill>
              <a:schemeClr val="accent3">
                <a:lumMod val="50000"/>
              </a:schemeClr>
            </a:solidFill>
            <a:ln>
              <a:solidFill>
                <a:schemeClr val="accent3">
                  <a:lumMod val="50000"/>
                </a:schemeClr>
              </a:solidFill>
            </a:ln>
          </c:spPr>
          <c:invertIfNegative val="0"/>
          <c:cat>
            <c:strRef>
              <c:f>Sheet1!$A$2:$A$6</c:f>
              <c:strCache>
                <c:ptCount val="5"/>
                <c:pt idx="0">
                  <c:v>5
always considerate</c:v>
                </c:pt>
                <c:pt idx="1">
                  <c:v>4</c:v>
                </c:pt>
                <c:pt idx="2">
                  <c:v>3
neutral</c:v>
                </c:pt>
                <c:pt idx="3">
                  <c:v>2</c:v>
                </c:pt>
                <c:pt idx="4">
                  <c:v>1
usually rude</c:v>
                </c:pt>
              </c:strCache>
            </c:strRef>
          </c:cat>
          <c:val>
            <c:numRef>
              <c:f>Sheet1!$H$2:$H$6</c:f>
              <c:numCache>
                <c:formatCode>0.0%</c:formatCode>
                <c:ptCount val="5"/>
                <c:pt idx="0">
                  <c:v>0.94099999999999995</c:v>
                </c:pt>
                <c:pt idx="1">
                  <c:v>5.8999999999999997E-2</c:v>
                </c:pt>
                <c:pt idx="2">
                  <c:v>0</c:v>
                </c:pt>
                <c:pt idx="3">
                  <c:v>0</c:v>
                </c:pt>
                <c:pt idx="4">
                  <c:v>0</c:v>
                </c:pt>
              </c:numCache>
            </c:numRef>
          </c:val>
        </c:ser>
        <c:ser>
          <c:idx val="7"/>
          <c:order val="7"/>
          <c:tx>
            <c:strRef>
              <c:f>Sheet1!$I$1</c:f>
              <c:strCache>
                <c:ptCount val="1"/>
                <c:pt idx="0">
                  <c:v>Orthodontics</c:v>
                </c:pt>
              </c:strCache>
            </c:strRef>
          </c:tx>
          <c:spPr>
            <a:solidFill>
              <a:srgbClr val="0070C0"/>
            </a:solidFill>
            <a:ln>
              <a:solidFill>
                <a:srgbClr val="0070C0"/>
              </a:solidFill>
            </a:ln>
          </c:spPr>
          <c:invertIfNegative val="0"/>
          <c:cat>
            <c:strRef>
              <c:f>Sheet1!$A$2:$A$6</c:f>
              <c:strCache>
                <c:ptCount val="5"/>
                <c:pt idx="0">
                  <c:v>5
always considerate</c:v>
                </c:pt>
                <c:pt idx="1">
                  <c:v>4</c:v>
                </c:pt>
                <c:pt idx="2">
                  <c:v>3
neutral</c:v>
                </c:pt>
                <c:pt idx="3">
                  <c:v>2</c:v>
                </c:pt>
                <c:pt idx="4">
                  <c:v>1
usually rude</c:v>
                </c:pt>
              </c:strCache>
            </c:strRef>
          </c:cat>
          <c:val>
            <c:numRef>
              <c:f>Sheet1!$I$2:$I$6</c:f>
              <c:numCache>
                <c:formatCode>0.0%</c:formatCode>
                <c:ptCount val="5"/>
                <c:pt idx="0">
                  <c:v>0.745</c:v>
                </c:pt>
                <c:pt idx="1">
                  <c:v>0.16400000000000001</c:v>
                </c:pt>
                <c:pt idx="2">
                  <c:v>9.0999999999999998E-2</c:v>
                </c:pt>
                <c:pt idx="3">
                  <c:v>0</c:v>
                </c:pt>
                <c:pt idx="4">
                  <c:v>0</c:v>
                </c:pt>
              </c:numCache>
            </c:numRef>
          </c:val>
        </c:ser>
        <c:ser>
          <c:idx val="8"/>
          <c:order val="8"/>
          <c:tx>
            <c:strRef>
              <c:f>Sheet1!$J$1</c:f>
              <c:strCache>
                <c:ptCount val="1"/>
                <c:pt idx="0">
                  <c:v>Oral Surgery</c:v>
                </c:pt>
              </c:strCache>
            </c:strRef>
          </c:tx>
          <c:invertIfNegative val="0"/>
          <c:cat>
            <c:strRef>
              <c:f>Sheet1!$A$2:$A$6</c:f>
              <c:strCache>
                <c:ptCount val="5"/>
                <c:pt idx="0">
                  <c:v>5
always considerate</c:v>
                </c:pt>
                <c:pt idx="1">
                  <c:v>4</c:v>
                </c:pt>
                <c:pt idx="2">
                  <c:v>3
neutral</c:v>
                </c:pt>
                <c:pt idx="3">
                  <c:v>2</c:v>
                </c:pt>
                <c:pt idx="4">
                  <c:v>1
usually rude</c:v>
                </c:pt>
              </c:strCache>
            </c:strRef>
          </c:cat>
          <c:val>
            <c:numRef>
              <c:f>Sheet1!$J$2:$J$6</c:f>
              <c:numCache>
                <c:formatCode>0.0%</c:formatCode>
                <c:ptCount val="5"/>
                <c:pt idx="0">
                  <c:v>0.67800000000000005</c:v>
                </c:pt>
                <c:pt idx="1">
                  <c:v>0.23699999999999999</c:v>
                </c:pt>
                <c:pt idx="2">
                  <c:v>6.8000000000000005E-2</c:v>
                </c:pt>
                <c:pt idx="3">
                  <c:v>0</c:v>
                </c:pt>
                <c:pt idx="4">
                  <c:v>1.7000000000000001E-2</c:v>
                </c:pt>
              </c:numCache>
            </c:numRef>
          </c:val>
        </c:ser>
        <c:ser>
          <c:idx val="9"/>
          <c:order val="9"/>
          <c:tx>
            <c:strRef>
              <c:f>Sheet1!$K$1</c:f>
              <c:strCache>
                <c:ptCount val="1"/>
                <c:pt idx="0">
                  <c:v>Pediatrics</c:v>
                </c:pt>
              </c:strCache>
            </c:strRef>
          </c:tx>
          <c:invertIfNegative val="0"/>
          <c:cat>
            <c:strRef>
              <c:f>Sheet1!$A$2:$A$6</c:f>
              <c:strCache>
                <c:ptCount val="5"/>
                <c:pt idx="0">
                  <c:v>5
always considerate</c:v>
                </c:pt>
                <c:pt idx="1">
                  <c:v>4</c:v>
                </c:pt>
                <c:pt idx="2">
                  <c:v>3
neutral</c:v>
                </c:pt>
                <c:pt idx="3">
                  <c:v>2</c:v>
                </c:pt>
                <c:pt idx="4">
                  <c:v>1
usually rude</c:v>
                </c:pt>
              </c:strCache>
            </c:strRef>
          </c:cat>
          <c:val>
            <c:numRef>
              <c:f>Sheet1!$K$2:$K$6</c:f>
              <c:numCache>
                <c:formatCode>0.0%</c:formatCode>
                <c:ptCount val="5"/>
                <c:pt idx="0">
                  <c:v>0.83299999999999996</c:v>
                </c:pt>
                <c:pt idx="1">
                  <c:v>0.111</c:v>
                </c:pt>
                <c:pt idx="2">
                  <c:v>5.6000000000000001E-2</c:v>
                </c:pt>
                <c:pt idx="3">
                  <c:v>0</c:v>
                </c:pt>
                <c:pt idx="4">
                  <c:v>0</c:v>
                </c:pt>
              </c:numCache>
            </c:numRef>
          </c:val>
        </c:ser>
        <c:ser>
          <c:idx val="10"/>
          <c:order val="10"/>
          <c:tx>
            <c:strRef>
              <c:f>Sheet1!$L$1</c:f>
              <c:strCache>
                <c:ptCount val="1"/>
                <c:pt idx="0">
                  <c:v>St. Pete</c:v>
                </c:pt>
              </c:strCache>
            </c:strRef>
          </c:tx>
          <c:invertIfNegative val="0"/>
          <c:cat>
            <c:strRef>
              <c:f>Sheet1!$A$2:$A$6</c:f>
              <c:strCache>
                <c:ptCount val="5"/>
                <c:pt idx="0">
                  <c:v>5
always considerate</c:v>
                </c:pt>
                <c:pt idx="1">
                  <c:v>4</c:v>
                </c:pt>
                <c:pt idx="2">
                  <c:v>3
neutral</c:v>
                </c:pt>
                <c:pt idx="3">
                  <c:v>2</c:v>
                </c:pt>
                <c:pt idx="4">
                  <c:v>1
usually rude</c:v>
                </c:pt>
              </c:strCache>
            </c:strRef>
          </c:cat>
          <c:val>
            <c:numRef>
              <c:f>Sheet1!$L$2:$L$6</c:f>
              <c:numCache>
                <c:formatCode>0.0%</c:formatCode>
                <c:ptCount val="5"/>
                <c:pt idx="0">
                  <c:v>0.83</c:v>
                </c:pt>
                <c:pt idx="1">
                  <c:v>0.17</c:v>
                </c:pt>
                <c:pt idx="2">
                  <c:v>0</c:v>
                </c:pt>
                <c:pt idx="3">
                  <c:v>0</c:v>
                </c:pt>
                <c:pt idx="4">
                  <c:v>0</c:v>
                </c:pt>
              </c:numCache>
            </c:numRef>
          </c:val>
        </c:ser>
        <c:dLbls>
          <c:showLegendKey val="0"/>
          <c:showVal val="0"/>
          <c:showCatName val="0"/>
          <c:showSerName val="0"/>
          <c:showPercent val="0"/>
          <c:showBubbleSize val="0"/>
        </c:dLbls>
        <c:gapWidth val="150"/>
        <c:axId val="175402368"/>
        <c:axId val="175412352"/>
      </c:barChart>
      <c:catAx>
        <c:axId val="175402368"/>
        <c:scaling>
          <c:orientation val="minMax"/>
        </c:scaling>
        <c:delete val="0"/>
        <c:axPos val="b"/>
        <c:numFmt formatCode="General" sourceLinked="1"/>
        <c:majorTickMark val="out"/>
        <c:minorTickMark val="none"/>
        <c:tickLblPos val="nextTo"/>
        <c:crossAx val="175412352"/>
        <c:crosses val="autoZero"/>
        <c:auto val="1"/>
        <c:lblAlgn val="ctr"/>
        <c:lblOffset val="100"/>
        <c:noMultiLvlLbl val="0"/>
      </c:catAx>
      <c:valAx>
        <c:axId val="175412352"/>
        <c:scaling>
          <c:orientation val="minMax"/>
        </c:scaling>
        <c:delete val="0"/>
        <c:axPos val="l"/>
        <c:majorGridlines/>
        <c:numFmt formatCode="0.0%" sourceLinked="1"/>
        <c:majorTickMark val="out"/>
        <c:minorTickMark val="none"/>
        <c:tickLblPos val="nextTo"/>
        <c:crossAx val="175402368"/>
        <c:crosses val="autoZero"/>
        <c:crossBetween val="between"/>
      </c:valAx>
    </c:plotArea>
    <c:legend>
      <c:legendPos val="r"/>
      <c:layout>
        <c:manualLayout>
          <c:xMode val="edge"/>
          <c:yMode val="edge"/>
          <c:x val="0.82891913540964191"/>
          <c:y val="0.11464024641547917"/>
          <c:w val="0.17108086459035804"/>
          <c:h val="0.54796707229778097"/>
        </c:manualLayout>
      </c:layout>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Average Rating of Treatment when Calling the College of Dentistry</a:t>
            </a:r>
          </a:p>
        </c:rich>
      </c:tx>
      <c:layout/>
      <c:overlay val="0"/>
    </c:title>
    <c:autoTitleDeleted val="0"/>
    <c:plotArea>
      <c:layout/>
      <c:lineChart>
        <c:grouping val="standard"/>
        <c:varyColors val="0"/>
        <c:ser>
          <c:idx val="0"/>
          <c:order val="0"/>
          <c:tx>
            <c:strRef>
              <c:f>Sheet1!$B$1</c:f>
              <c:strCache>
                <c:ptCount val="1"/>
                <c:pt idx="0">
                  <c:v>Column1</c:v>
                </c:pt>
              </c:strCache>
            </c:strRef>
          </c:tx>
          <c:marker>
            <c:symbol val="none"/>
          </c:marker>
          <c:dLbls>
            <c:dLbl>
              <c:idx val="0"/>
              <c:layout>
                <c:manualLayout>
                  <c:x val="-3.0882690735537E-2"/>
                  <c:y val="1.9863154254746235E-2"/>
                </c:manualLayout>
              </c:layout>
              <c:dLblPos val="r"/>
              <c:showLegendKey val="0"/>
              <c:showVal val="1"/>
              <c:showCatName val="0"/>
              <c:showSerName val="0"/>
              <c:showPercent val="0"/>
              <c:showBubbleSize val="0"/>
            </c:dLbl>
            <c:dLbl>
              <c:idx val="1"/>
              <c:layout>
                <c:manualLayout>
                  <c:x val="-2.9201312004977942E-2"/>
                  <c:y val="-2.3333390021711597E-2"/>
                </c:manualLayout>
              </c:layout>
              <c:dLblPos val="r"/>
              <c:showLegendKey val="0"/>
              <c:showVal val="1"/>
              <c:showCatName val="0"/>
              <c:showSerName val="0"/>
              <c:showPercent val="0"/>
              <c:showBubbleSize val="0"/>
            </c:dLbl>
            <c:dLbl>
              <c:idx val="2"/>
              <c:layout>
                <c:manualLayout>
                  <c:x val="-3.5926826927214175E-2"/>
                  <c:y val="-2.0453620403281123E-2"/>
                </c:manualLayout>
              </c:layout>
              <c:dLblPos val="r"/>
              <c:showLegendKey val="0"/>
              <c:showVal val="1"/>
              <c:showCatName val="0"/>
              <c:showSerName val="0"/>
              <c:showPercent val="0"/>
              <c:showBubbleSize val="0"/>
            </c:dLbl>
            <c:dLbl>
              <c:idx val="3"/>
              <c:layout>
                <c:manualLayout>
                  <c:x val="-2.2475797082741708E-2"/>
                  <c:y val="2.5622693491607285E-2"/>
                </c:manualLayout>
              </c:layout>
              <c:dLblPos val="r"/>
              <c:showLegendKey val="0"/>
              <c:showVal val="1"/>
              <c:showCatName val="0"/>
              <c:showSerName val="0"/>
              <c:showPercent val="0"/>
              <c:showBubbleSize val="0"/>
            </c:dLbl>
            <c:dLbl>
              <c:idx val="4"/>
              <c:layout>
                <c:manualLayout>
                  <c:x val="-2.9201312004977942E-2"/>
                  <c:y val="-2.3333390021711649E-2"/>
                </c:manualLayout>
              </c:layout>
              <c:dLblPos val="r"/>
              <c:showLegendKey val="0"/>
              <c:showVal val="1"/>
              <c:showCatName val="0"/>
              <c:showSerName val="0"/>
              <c:showPercent val="0"/>
              <c:showBubbleSize val="0"/>
            </c:dLbl>
            <c:dLbl>
              <c:idx val="5"/>
              <c:layout>
                <c:manualLayout>
                  <c:x val="-2.4157308205326793E-2"/>
                  <c:y val="2.8502463110037811E-2"/>
                </c:manualLayout>
              </c:layout>
              <c:dLblPos val="r"/>
              <c:showLegendKey val="0"/>
              <c:showVal val="1"/>
              <c:showCatName val="0"/>
              <c:showSerName val="0"/>
              <c:showPercent val="0"/>
              <c:showBubbleSize val="0"/>
            </c:dLbl>
            <c:dLbl>
              <c:idx val="6"/>
              <c:layout>
                <c:manualLayout>
                  <c:x val="-2.4157175813300766E-2"/>
                  <c:y val="-2.6213159640142123E-2"/>
                </c:manualLayout>
              </c:layout>
              <c:dLblPos val="r"/>
              <c:showLegendKey val="0"/>
              <c:showVal val="1"/>
              <c:showCatName val="0"/>
              <c:showSerName val="0"/>
              <c:showPercent val="0"/>
              <c:showBubbleSize val="0"/>
            </c:dLbl>
            <c:dLbl>
              <c:idx val="7"/>
              <c:layout>
                <c:manualLayout>
                  <c:x val="-2.9201312004977942E-2"/>
                  <c:y val="3.1382232728468337E-2"/>
                </c:manualLayout>
              </c:layout>
              <c:dLblPos val="r"/>
              <c:showLegendKey val="0"/>
              <c:showVal val="1"/>
              <c:showCatName val="0"/>
              <c:showSerName val="0"/>
              <c:showPercent val="0"/>
              <c:showBubbleSize val="0"/>
            </c:dLbl>
            <c:dLbl>
              <c:idx val="8"/>
              <c:layout>
                <c:manualLayout>
                  <c:x val="-3.0882690735537E-2"/>
                  <c:y val="2.5622693491607285E-2"/>
                </c:manualLayout>
              </c:layout>
              <c:dLblPos val="r"/>
              <c:showLegendKey val="0"/>
              <c:showVal val="1"/>
              <c:showCatName val="0"/>
              <c:showSerName val="0"/>
              <c:showPercent val="0"/>
              <c:showBubbleSize val="0"/>
            </c:dLbl>
            <c:dLbl>
              <c:idx val="9"/>
              <c:layout>
                <c:manualLayout>
                  <c:x val="-1.7431660891064533E-2"/>
                  <c:y val="2.2742923873176762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Sheet1!$A$2:$A$12</c:f>
              <c:strCache>
                <c:ptCount val="11"/>
                <c:pt idx="0">
                  <c:v>Student
Clinics</c:v>
                </c:pt>
                <c:pt idx="1">
                  <c:v>FP</c:v>
                </c:pt>
                <c:pt idx="2">
                  <c:v>GE</c:v>
                </c:pt>
                <c:pt idx="3">
                  <c:v>GPE</c:v>
                </c:pt>
                <c:pt idx="4">
                  <c:v>GPR</c:v>
                </c:pt>
                <c:pt idx="5">
                  <c:v>Hialeah</c:v>
                </c:pt>
                <c:pt idx="6">
                  <c:v>OM</c:v>
                </c:pt>
                <c:pt idx="7">
                  <c:v>OR</c:v>
                </c:pt>
                <c:pt idx="8">
                  <c:v>OS</c:v>
                </c:pt>
                <c:pt idx="9">
                  <c:v>PD</c:v>
                </c:pt>
                <c:pt idx="10">
                  <c:v>SP</c:v>
                </c:pt>
              </c:strCache>
            </c:strRef>
          </c:cat>
          <c:val>
            <c:numRef>
              <c:f>Sheet1!$B$2:$B$12</c:f>
              <c:numCache>
                <c:formatCode>0.00</c:formatCode>
                <c:ptCount val="11"/>
                <c:pt idx="0">
                  <c:v>4.8</c:v>
                </c:pt>
                <c:pt idx="1">
                  <c:v>4.83</c:v>
                </c:pt>
                <c:pt idx="2">
                  <c:v>4.8899999999999997</c:v>
                </c:pt>
                <c:pt idx="3">
                  <c:v>4.76</c:v>
                </c:pt>
                <c:pt idx="4">
                  <c:v>4.95</c:v>
                </c:pt>
                <c:pt idx="5">
                  <c:v>4.88</c:v>
                </c:pt>
                <c:pt idx="6">
                  <c:v>4.9400000000000004</c:v>
                </c:pt>
                <c:pt idx="7">
                  <c:v>4.6500000000000004</c:v>
                </c:pt>
                <c:pt idx="8">
                  <c:v>4.5599999999999996</c:v>
                </c:pt>
                <c:pt idx="9">
                  <c:v>4.78</c:v>
                </c:pt>
                <c:pt idx="10">
                  <c:v>4.83</c:v>
                </c:pt>
              </c:numCache>
            </c:numRef>
          </c:val>
          <c:smooth val="0"/>
        </c:ser>
        <c:dLbls>
          <c:showLegendKey val="0"/>
          <c:showVal val="1"/>
          <c:showCatName val="0"/>
          <c:showSerName val="0"/>
          <c:showPercent val="0"/>
          <c:showBubbleSize val="0"/>
        </c:dLbls>
        <c:marker val="1"/>
        <c:smooth val="0"/>
        <c:axId val="175636864"/>
        <c:axId val="175639552"/>
      </c:lineChart>
      <c:catAx>
        <c:axId val="175636864"/>
        <c:scaling>
          <c:orientation val="minMax"/>
        </c:scaling>
        <c:delete val="0"/>
        <c:axPos val="b"/>
        <c:majorTickMark val="out"/>
        <c:minorTickMark val="none"/>
        <c:tickLblPos val="nextTo"/>
        <c:crossAx val="175639552"/>
        <c:crosses val="autoZero"/>
        <c:auto val="1"/>
        <c:lblAlgn val="ctr"/>
        <c:lblOffset val="100"/>
        <c:noMultiLvlLbl val="0"/>
      </c:catAx>
      <c:valAx>
        <c:axId val="175639552"/>
        <c:scaling>
          <c:orientation val="minMax"/>
          <c:max val="5"/>
          <c:min val="4"/>
        </c:scaling>
        <c:delete val="0"/>
        <c:axPos val="l"/>
        <c:majorGridlines/>
        <c:numFmt formatCode="0.00" sourceLinked="1"/>
        <c:majorTickMark val="out"/>
        <c:minorTickMark val="none"/>
        <c:tickLblPos val="nextTo"/>
        <c:crossAx val="175636864"/>
        <c:crosses val="autoZero"/>
        <c:crossBetween val="between"/>
        <c:majorUnit val="0.25"/>
      </c:valAx>
    </c:plotArea>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Treatment by Staff</a:t>
            </a:r>
          </a:p>
        </c:rich>
      </c:tx>
      <c:layout/>
      <c:overlay val="0"/>
    </c:title>
    <c:autoTitleDeleted val="0"/>
    <c:plotArea>
      <c:layout/>
      <c:barChart>
        <c:barDir val="col"/>
        <c:grouping val="clustered"/>
        <c:varyColors val="0"/>
        <c:ser>
          <c:idx val="0"/>
          <c:order val="0"/>
          <c:tx>
            <c:strRef>
              <c:f>Sheet1!$B$1</c:f>
              <c:strCache>
                <c:ptCount val="1"/>
                <c:pt idx="0">
                  <c:v>Student Clinics</c:v>
                </c:pt>
              </c:strCache>
            </c:strRef>
          </c:tx>
          <c:invertIfNegative val="0"/>
          <c:cat>
            <c:strRef>
              <c:f>Sheet1!$A$2:$A$6</c:f>
              <c:strCache>
                <c:ptCount val="5"/>
                <c:pt idx="0">
                  <c:v>5
always considerate</c:v>
                </c:pt>
                <c:pt idx="1">
                  <c:v>4</c:v>
                </c:pt>
                <c:pt idx="2">
                  <c:v>3
neutral</c:v>
                </c:pt>
                <c:pt idx="3">
                  <c:v>2</c:v>
                </c:pt>
                <c:pt idx="4">
                  <c:v>1
usually rude</c:v>
                </c:pt>
              </c:strCache>
            </c:strRef>
          </c:cat>
          <c:val>
            <c:numRef>
              <c:f>Sheet1!$B$2:$B$6</c:f>
              <c:numCache>
                <c:formatCode>0.0%</c:formatCode>
                <c:ptCount val="5"/>
                <c:pt idx="0">
                  <c:v>0.93799999999999994</c:v>
                </c:pt>
                <c:pt idx="1">
                  <c:v>5.5E-2</c:v>
                </c:pt>
                <c:pt idx="2">
                  <c:v>7.0000000000000001E-3</c:v>
                </c:pt>
                <c:pt idx="3">
                  <c:v>0</c:v>
                </c:pt>
                <c:pt idx="4">
                  <c:v>0</c:v>
                </c:pt>
              </c:numCache>
            </c:numRef>
          </c:val>
        </c:ser>
        <c:ser>
          <c:idx val="1"/>
          <c:order val="1"/>
          <c:tx>
            <c:strRef>
              <c:f>Sheet1!$C$1</c:f>
              <c:strCache>
                <c:ptCount val="1"/>
                <c:pt idx="0">
                  <c:v>Faculty Practice</c:v>
                </c:pt>
              </c:strCache>
            </c:strRef>
          </c:tx>
          <c:spPr>
            <a:solidFill>
              <a:schemeClr val="accent6"/>
            </a:solidFill>
            <a:ln>
              <a:solidFill>
                <a:schemeClr val="accent6"/>
              </a:solidFill>
            </a:ln>
          </c:spPr>
          <c:invertIfNegative val="0"/>
          <c:cat>
            <c:strRef>
              <c:f>Sheet1!$A$2:$A$6</c:f>
              <c:strCache>
                <c:ptCount val="5"/>
                <c:pt idx="0">
                  <c:v>5
always considerate</c:v>
                </c:pt>
                <c:pt idx="1">
                  <c:v>4</c:v>
                </c:pt>
                <c:pt idx="2">
                  <c:v>3
neutral</c:v>
                </c:pt>
                <c:pt idx="3">
                  <c:v>2</c:v>
                </c:pt>
                <c:pt idx="4">
                  <c:v>1
usually rude</c:v>
                </c:pt>
              </c:strCache>
            </c:strRef>
          </c:cat>
          <c:val>
            <c:numRef>
              <c:f>Sheet1!$C$2:$C$6</c:f>
              <c:numCache>
                <c:formatCode>0.0%</c:formatCode>
                <c:ptCount val="5"/>
                <c:pt idx="0">
                  <c:v>0.87</c:v>
                </c:pt>
                <c:pt idx="1">
                  <c:v>0.13</c:v>
                </c:pt>
                <c:pt idx="2">
                  <c:v>0</c:v>
                </c:pt>
                <c:pt idx="3">
                  <c:v>0</c:v>
                </c:pt>
                <c:pt idx="4">
                  <c:v>0</c:v>
                </c:pt>
              </c:numCache>
            </c:numRef>
          </c:val>
        </c:ser>
        <c:ser>
          <c:idx val="2"/>
          <c:order val="2"/>
          <c:tx>
            <c:strRef>
              <c:f>Sheet1!$D$1</c:f>
              <c:strCache>
                <c:ptCount val="1"/>
                <c:pt idx="0">
                  <c:v>Graduate Endodontics</c:v>
                </c:pt>
              </c:strCache>
            </c:strRef>
          </c:tx>
          <c:invertIfNegative val="0"/>
          <c:cat>
            <c:strRef>
              <c:f>Sheet1!$A$2:$A$6</c:f>
              <c:strCache>
                <c:ptCount val="5"/>
                <c:pt idx="0">
                  <c:v>5
always considerate</c:v>
                </c:pt>
                <c:pt idx="1">
                  <c:v>4</c:v>
                </c:pt>
                <c:pt idx="2">
                  <c:v>3
neutral</c:v>
                </c:pt>
                <c:pt idx="3">
                  <c:v>2</c:v>
                </c:pt>
                <c:pt idx="4">
                  <c:v>1
usually rude</c:v>
                </c:pt>
              </c:strCache>
            </c:strRef>
          </c:cat>
          <c:val>
            <c:numRef>
              <c:f>Sheet1!$D$2:$D$6</c:f>
              <c:numCache>
                <c:formatCode>0.0%</c:formatCode>
                <c:ptCount val="5"/>
                <c:pt idx="0">
                  <c:v>0.90900000000000003</c:v>
                </c:pt>
                <c:pt idx="1">
                  <c:v>7.2999999999999995E-2</c:v>
                </c:pt>
                <c:pt idx="2">
                  <c:v>0</c:v>
                </c:pt>
                <c:pt idx="3">
                  <c:v>0</c:v>
                </c:pt>
                <c:pt idx="4">
                  <c:v>1.7999999999999999E-2</c:v>
                </c:pt>
              </c:numCache>
            </c:numRef>
          </c:val>
        </c:ser>
        <c:ser>
          <c:idx val="3"/>
          <c:order val="3"/>
          <c:tx>
            <c:strRef>
              <c:f>Sheet1!$E$1</c:f>
              <c:strCache>
                <c:ptCount val="1"/>
                <c:pt idx="0">
                  <c:v>Grad Periodontics</c:v>
                </c:pt>
              </c:strCache>
            </c:strRef>
          </c:tx>
          <c:spPr>
            <a:solidFill>
              <a:schemeClr val="tx2"/>
            </a:solidFill>
            <a:ln>
              <a:solidFill>
                <a:schemeClr val="tx2"/>
              </a:solidFill>
            </a:ln>
          </c:spPr>
          <c:invertIfNegative val="0"/>
          <c:cat>
            <c:strRef>
              <c:f>Sheet1!$A$2:$A$6</c:f>
              <c:strCache>
                <c:ptCount val="5"/>
                <c:pt idx="0">
                  <c:v>5
always considerate</c:v>
                </c:pt>
                <c:pt idx="1">
                  <c:v>4</c:v>
                </c:pt>
                <c:pt idx="2">
                  <c:v>3
neutral</c:v>
                </c:pt>
                <c:pt idx="3">
                  <c:v>2</c:v>
                </c:pt>
                <c:pt idx="4">
                  <c:v>1
usually rude</c:v>
                </c:pt>
              </c:strCache>
            </c:strRef>
          </c:cat>
          <c:val>
            <c:numRef>
              <c:f>Sheet1!$E$2:$E$6</c:f>
              <c:numCache>
                <c:formatCode>0.0%</c:formatCode>
                <c:ptCount val="5"/>
                <c:pt idx="0">
                  <c:v>0.93100000000000005</c:v>
                </c:pt>
                <c:pt idx="1">
                  <c:v>3.4000000000000002E-2</c:v>
                </c:pt>
                <c:pt idx="2">
                  <c:v>3.4000000000000002E-2</c:v>
                </c:pt>
                <c:pt idx="3">
                  <c:v>0</c:v>
                </c:pt>
                <c:pt idx="4">
                  <c:v>0</c:v>
                </c:pt>
              </c:numCache>
            </c:numRef>
          </c:val>
        </c:ser>
        <c:ser>
          <c:idx val="4"/>
          <c:order val="4"/>
          <c:tx>
            <c:strRef>
              <c:f>Sheet1!$F$1</c:f>
              <c:strCache>
                <c:ptCount val="1"/>
                <c:pt idx="0">
                  <c:v>Grad Prosthodontics</c:v>
                </c:pt>
              </c:strCache>
            </c:strRef>
          </c:tx>
          <c:spPr>
            <a:solidFill>
              <a:schemeClr val="accent1">
                <a:lumMod val="20000"/>
                <a:lumOff val="80000"/>
              </a:schemeClr>
            </a:solidFill>
            <a:ln>
              <a:solidFill>
                <a:schemeClr val="accent1">
                  <a:lumMod val="20000"/>
                  <a:lumOff val="80000"/>
                </a:schemeClr>
              </a:solidFill>
            </a:ln>
          </c:spPr>
          <c:invertIfNegative val="0"/>
          <c:cat>
            <c:strRef>
              <c:f>Sheet1!$A$2:$A$6</c:f>
              <c:strCache>
                <c:ptCount val="5"/>
                <c:pt idx="0">
                  <c:v>5
always considerate</c:v>
                </c:pt>
                <c:pt idx="1">
                  <c:v>4</c:v>
                </c:pt>
                <c:pt idx="2">
                  <c:v>3
neutral</c:v>
                </c:pt>
                <c:pt idx="3">
                  <c:v>2</c:v>
                </c:pt>
                <c:pt idx="4">
                  <c:v>1
usually rude</c:v>
                </c:pt>
              </c:strCache>
            </c:strRef>
          </c:cat>
          <c:val>
            <c:numRef>
              <c:f>Sheet1!$F$2:$F$6</c:f>
              <c:numCache>
                <c:formatCode>0.0%</c:formatCode>
                <c:ptCount val="5"/>
                <c:pt idx="0">
                  <c:v>0.97399999999999998</c:v>
                </c:pt>
                <c:pt idx="1">
                  <c:v>0</c:v>
                </c:pt>
                <c:pt idx="2">
                  <c:v>2.5999999999999999E-2</c:v>
                </c:pt>
                <c:pt idx="3">
                  <c:v>0</c:v>
                </c:pt>
                <c:pt idx="4">
                  <c:v>0</c:v>
                </c:pt>
              </c:numCache>
            </c:numRef>
          </c:val>
        </c:ser>
        <c:ser>
          <c:idx val="5"/>
          <c:order val="5"/>
          <c:tx>
            <c:strRef>
              <c:f>Sheet1!$G$1</c:f>
              <c:strCache>
                <c:ptCount val="1"/>
                <c:pt idx="0">
                  <c:v>Hialeah</c:v>
                </c:pt>
              </c:strCache>
            </c:strRef>
          </c:tx>
          <c:spPr>
            <a:solidFill>
              <a:schemeClr val="accent6">
                <a:lumMod val="60000"/>
                <a:lumOff val="40000"/>
              </a:schemeClr>
            </a:solidFill>
            <a:ln>
              <a:solidFill>
                <a:schemeClr val="accent6">
                  <a:lumMod val="60000"/>
                  <a:lumOff val="40000"/>
                </a:schemeClr>
              </a:solidFill>
            </a:ln>
          </c:spPr>
          <c:invertIfNegative val="0"/>
          <c:cat>
            <c:strRef>
              <c:f>Sheet1!$A$2:$A$6</c:f>
              <c:strCache>
                <c:ptCount val="5"/>
                <c:pt idx="0">
                  <c:v>5
always considerate</c:v>
                </c:pt>
                <c:pt idx="1">
                  <c:v>4</c:v>
                </c:pt>
                <c:pt idx="2">
                  <c:v>3
neutral</c:v>
                </c:pt>
                <c:pt idx="3">
                  <c:v>2</c:v>
                </c:pt>
                <c:pt idx="4">
                  <c:v>1
usually rude</c:v>
                </c:pt>
              </c:strCache>
            </c:strRef>
          </c:cat>
          <c:val>
            <c:numRef>
              <c:f>Sheet1!$G$2:$G$6</c:f>
              <c:numCache>
                <c:formatCode>0.0%</c:formatCode>
                <c:ptCount val="5"/>
                <c:pt idx="0">
                  <c:v>0.88200000000000001</c:v>
                </c:pt>
                <c:pt idx="1">
                  <c:v>0.105</c:v>
                </c:pt>
                <c:pt idx="2">
                  <c:v>1.2999999999999999E-2</c:v>
                </c:pt>
                <c:pt idx="3">
                  <c:v>0</c:v>
                </c:pt>
                <c:pt idx="4">
                  <c:v>0</c:v>
                </c:pt>
              </c:numCache>
            </c:numRef>
          </c:val>
        </c:ser>
        <c:ser>
          <c:idx val="6"/>
          <c:order val="6"/>
          <c:tx>
            <c:strRef>
              <c:f>Sheet1!$H$1</c:f>
              <c:strCache>
                <c:ptCount val="1"/>
                <c:pt idx="0">
                  <c:v>Oral Medicine</c:v>
                </c:pt>
              </c:strCache>
            </c:strRef>
          </c:tx>
          <c:spPr>
            <a:solidFill>
              <a:schemeClr val="accent3">
                <a:lumMod val="50000"/>
              </a:schemeClr>
            </a:solidFill>
            <a:ln>
              <a:solidFill>
                <a:schemeClr val="accent3">
                  <a:lumMod val="50000"/>
                </a:schemeClr>
              </a:solidFill>
            </a:ln>
          </c:spPr>
          <c:invertIfNegative val="0"/>
          <c:cat>
            <c:strRef>
              <c:f>Sheet1!$A$2:$A$6</c:f>
              <c:strCache>
                <c:ptCount val="5"/>
                <c:pt idx="0">
                  <c:v>5
always considerate</c:v>
                </c:pt>
                <c:pt idx="1">
                  <c:v>4</c:v>
                </c:pt>
                <c:pt idx="2">
                  <c:v>3
neutral</c:v>
                </c:pt>
                <c:pt idx="3">
                  <c:v>2</c:v>
                </c:pt>
                <c:pt idx="4">
                  <c:v>1
usually rude</c:v>
                </c:pt>
              </c:strCache>
            </c:strRef>
          </c:cat>
          <c:val>
            <c:numRef>
              <c:f>Sheet1!$H$2:$H$6</c:f>
              <c:numCache>
                <c:formatCode>0.0%</c:formatCode>
                <c:ptCount val="5"/>
                <c:pt idx="0">
                  <c:v>1</c:v>
                </c:pt>
                <c:pt idx="1">
                  <c:v>0</c:v>
                </c:pt>
                <c:pt idx="2">
                  <c:v>0</c:v>
                </c:pt>
                <c:pt idx="3">
                  <c:v>0</c:v>
                </c:pt>
                <c:pt idx="4">
                  <c:v>0</c:v>
                </c:pt>
              </c:numCache>
            </c:numRef>
          </c:val>
        </c:ser>
        <c:ser>
          <c:idx val="7"/>
          <c:order val="7"/>
          <c:tx>
            <c:strRef>
              <c:f>Sheet1!$I$1</c:f>
              <c:strCache>
                <c:ptCount val="1"/>
                <c:pt idx="0">
                  <c:v>Orthodontics</c:v>
                </c:pt>
              </c:strCache>
            </c:strRef>
          </c:tx>
          <c:spPr>
            <a:solidFill>
              <a:srgbClr val="0070C0"/>
            </a:solidFill>
            <a:ln>
              <a:solidFill>
                <a:srgbClr val="0070C0"/>
              </a:solidFill>
            </a:ln>
          </c:spPr>
          <c:invertIfNegative val="0"/>
          <c:cat>
            <c:strRef>
              <c:f>Sheet1!$A$2:$A$6</c:f>
              <c:strCache>
                <c:ptCount val="5"/>
                <c:pt idx="0">
                  <c:v>5
always considerate</c:v>
                </c:pt>
                <c:pt idx="1">
                  <c:v>4</c:v>
                </c:pt>
                <c:pt idx="2">
                  <c:v>3
neutral</c:v>
                </c:pt>
                <c:pt idx="3">
                  <c:v>2</c:v>
                </c:pt>
                <c:pt idx="4">
                  <c:v>1
usually rude</c:v>
                </c:pt>
              </c:strCache>
            </c:strRef>
          </c:cat>
          <c:val>
            <c:numRef>
              <c:f>Sheet1!$I$2:$I$6</c:f>
              <c:numCache>
                <c:formatCode>0.0%</c:formatCode>
                <c:ptCount val="5"/>
                <c:pt idx="0">
                  <c:v>0.873</c:v>
                </c:pt>
                <c:pt idx="1">
                  <c:v>0.109</c:v>
                </c:pt>
                <c:pt idx="2">
                  <c:v>1.7999999999999999E-2</c:v>
                </c:pt>
                <c:pt idx="3">
                  <c:v>0</c:v>
                </c:pt>
                <c:pt idx="4">
                  <c:v>0</c:v>
                </c:pt>
              </c:numCache>
            </c:numRef>
          </c:val>
        </c:ser>
        <c:ser>
          <c:idx val="8"/>
          <c:order val="8"/>
          <c:tx>
            <c:strRef>
              <c:f>Sheet1!$J$1</c:f>
              <c:strCache>
                <c:ptCount val="1"/>
                <c:pt idx="0">
                  <c:v>Oral Surgery</c:v>
                </c:pt>
              </c:strCache>
            </c:strRef>
          </c:tx>
          <c:invertIfNegative val="0"/>
          <c:cat>
            <c:strRef>
              <c:f>Sheet1!$A$2:$A$6</c:f>
              <c:strCache>
                <c:ptCount val="5"/>
                <c:pt idx="0">
                  <c:v>5
always considerate</c:v>
                </c:pt>
                <c:pt idx="1">
                  <c:v>4</c:v>
                </c:pt>
                <c:pt idx="2">
                  <c:v>3
neutral</c:v>
                </c:pt>
                <c:pt idx="3">
                  <c:v>2</c:v>
                </c:pt>
                <c:pt idx="4">
                  <c:v>1
usually rude</c:v>
                </c:pt>
              </c:strCache>
            </c:strRef>
          </c:cat>
          <c:val>
            <c:numRef>
              <c:f>Sheet1!$J$2:$J$6</c:f>
              <c:numCache>
                <c:formatCode>0.0%</c:formatCode>
                <c:ptCount val="5"/>
                <c:pt idx="0">
                  <c:v>0.81399999999999995</c:v>
                </c:pt>
                <c:pt idx="1">
                  <c:v>0.16900000000000001</c:v>
                </c:pt>
                <c:pt idx="2">
                  <c:v>0</c:v>
                </c:pt>
                <c:pt idx="3">
                  <c:v>0</c:v>
                </c:pt>
                <c:pt idx="4">
                  <c:v>1.7000000000000001E-2</c:v>
                </c:pt>
              </c:numCache>
            </c:numRef>
          </c:val>
        </c:ser>
        <c:ser>
          <c:idx val="9"/>
          <c:order val="9"/>
          <c:tx>
            <c:strRef>
              <c:f>Sheet1!$K$1</c:f>
              <c:strCache>
                <c:ptCount val="1"/>
                <c:pt idx="0">
                  <c:v>Pediatrics</c:v>
                </c:pt>
              </c:strCache>
            </c:strRef>
          </c:tx>
          <c:invertIfNegative val="0"/>
          <c:cat>
            <c:strRef>
              <c:f>Sheet1!$A$2:$A$6</c:f>
              <c:strCache>
                <c:ptCount val="5"/>
                <c:pt idx="0">
                  <c:v>5
always considerate</c:v>
                </c:pt>
                <c:pt idx="1">
                  <c:v>4</c:v>
                </c:pt>
                <c:pt idx="2">
                  <c:v>3
neutral</c:v>
                </c:pt>
                <c:pt idx="3">
                  <c:v>2</c:v>
                </c:pt>
                <c:pt idx="4">
                  <c:v>1
usually rude</c:v>
                </c:pt>
              </c:strCache>
            </c:strRef>
          </c:cat>
          <c:val>
            <c:numRef>
              <c:f>Sheet1!$K$2:$K$6</c:f>
              <c:numCache>
                <c:formatCode>0.0%</c:formatCode>
                <c:ptCount val="5"/>
                <c:pt idx="0">
                  <c:v>0.91700000000000004</c:v>
                </c:pt>
                <c:pt idx="1">
                  <c:v>5.6000000000000001E-2</c:v>
                </c:pt>
                <c:pt idx="2">
                  <c:v>2.8000000000000001E-2</c:v>
                </c:pt>
                <c:pt idx="3">
                  <c:v>0</c:v>
                </c:pt>
                <c:pt idx="4">
                  <c:v>0</c:v>
                </c:pt>
              </c:numCache>
            </c:numRef>
          </c:val>
        </c:ser>
        <c:ser>
          <c:idx val="10"/>
          <c:order val="10"/>
          <c:tx>
            <c:strRef>
              <c:f>Sheet1!$L$1</c:f>
              <c:strCache>
                <c:ptCount val="1"/>
                <c:pt idx="0">
                  <c:v>St. Pete</c:v>
                </c:pt>
              </c:strCache>
            </c:strRef>
          </c:tx>
          <c:invertIfNegative val="0"/>
          <c:cat>
            <c:strRef>
              <c:f>Sheet1!$A$2:$A$6</c:f>
              <c:strCache>
                <c:ptCount val="5"/>
                <c:pt idx="0">
                  <c:v>5
always considerate</c:v>
                </c:pt>
                <c:pt idx="1">
                  <c:v>4</c:v>
                </c:pt>
                <c:pt idx="2">
                  <c:v>3
neutral</c:v>
                </c:pt>
                <c:pt idx="3">
                  <c:v>2</c:v>
                </c:pt>
                <c:pt idx="4">
                  <c:v>1
usually rude</c:v>
                </c:pt>
              </c:strCache>
            </c:strRef>
          </c:cat>
          <c:val>
            <c:numRef>
              <c:f>Sheet1!$L$2:$L$6</c:f>
              <c:numCache>
                <c:formatCode>0.0%</c:formatCode>
                <c:ptCount val="5"/>
                <c:pt idx="0">
                  <c:v>0.91300000000000003</c:v>
                </c:pt>
                <c:pt idx="1">
                  <c:v>8.6999999999999994E-2</c:v>
                </c:pt>
                <c:pt idx="2">
                  <c:v>0</c:v>
                </c:pt>
                <c:pt idx="3">
                  <c:v>0</c:v>
                </c:pt>
                <c:pt idx="4">
                  <c:v>0</c:v>
                </c:pt>
              </c:numCache>
            </c:numRef>
          </c:val>
        </c:ser>
        <c:dLbls>
          <c:showLegendKey val="0"/>
          <c:showVal val="0"/>
          <c:showCatName val="0"/>
          <c:showSerName val="0"/>
          <c:showPercent val="0"/>
          <c:showBubbleSize val="0"/>
        </c:dLbls>
        <c:gapWidth val="150"/>
        <c:axId val="175946368"/>
        <c:axId val="176230784"/>
      </c:barChart>
      <c:catAx>
        <c:axId val="175946368"/>
        <c:scaling>
          <c:orientation val="minMax"/>
        </c:scaling>
        <c:delete val="0"/>
        <c:axPos val="b"/>
        <c:numFmt formatCode="General" sourceLinked="1"/>
        <c:majorTickMark val="out"/>
        <c:minorTickMark val="none"/>
        <c:tickLblPos val="nextTo"/>
        <c:crossAx val="176230784"/>
        <c:crosses val="autoZero"/>
        <c:auto val="1"/>
        <c:lblAlgn val="ctr"/>
        <c:lblOffset val="100"/>
        <c:noMultiLvlLbl val="0"/>
      </c:catAx>
      <c:valAx>
        <c:axId val="176230784"/>
        <c:scaling>
          <c:orientation val="minMax"/>
          <c:max val="1"/>
        </c:scaling>
        <c:delete val="0"/>
        <c:axPos val="l"/>
        <c:majorGridlines/>
        <c:numFmt formatCode="0.0%" sourceLinked="1"/>
        <c:majorTickMark val="out"/>
        <c:minorTickMark val="none"/>
        <c:tickLblPos val="nextTo"/>
        <c:crossAx val="175946368"/>
        <c:crosses val="autoZero"/>
        <c:crossBetween val="between"/>
      </c:valAx>
    </c:plotArea>
    <c:legend>
      <c:legendPos val="r"/>
      <c:layout>
        <c:manualLayout>
          <c:xMode val="edge"/>
          <c:yMode val="edge"/>
          <c:x val="0.82953601352715522"/>
          <c:y val="0.12802473948182225"/>
          <c:w val="0.17046398647284475"/>
          <c:h val="0.52518032275668514"/>
        </c:manualLayout>
      </c:layout>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Average Rating of Treatment by Staff</a:t>
            </a:r>
          </a:p>
          <a:p>
            <a:pPr>
              <a:defRPr/>
            </a:pPr>
            <a:endParaRPr lang="en-US"/>
          </a:p>
        </c:rich>
      </c:tx>
      <c:layout/>
      <c:overlay val="0"/>
    </c:title>
    <c:autoTitleDeleted val="0"/>
    <c:plotArea>
      <c:layout/>
      <c:lineChart>
        <c:grouping val="standard"/>
        <c:varyColors val="0"/>
        <c:ser>
          <c:idx val="0"/>
          <c:order val="0"/>
          <c:tx>
            <c:strRef>
              <c:f>Sheet1!$B$1</c:f>
              <c:strCache>
                <c:ptCount val="1"/>
                <c:pt idx="0">
                  <c:v>Column1</c:v>
                </c:pt>
              </c:strCache>
            </c:strRef>
          </c:tx>
          <c:marker>
            <c:symbol val="none"/>
          </c:marker>
          <c:dLbls>
            <c:dLbl>
              <c:idx val="1"/>
              <c:layout>
                <c:manualLayout>
                  <c:x val="-2.1922886945404885E-2"/>
                  <c:y val="2.2404199475065618E-2"/>
                </c:manualLayout>
              </c:layout>
              <c:dLblPos val="r"/>
              <c:showLegendKey val="0"/>
              <c:showVal val="1"/>
              <c:showCatName val="0"/>
              <c:showSerName val="0"/>
              <c:showPercent val="0"/>
              <c:showBubbleSize val="0"/>
            </c:dLbl>
            <c:dLbl>
              <c:idx val="2"/>
              <c:layout>
                <c:manualLayout>
                  <c:x val="-2.1922886945404885E-2"/>
                  <c:y val="2.2404199475065618E-2"/>
                </c:manualLayout>
              </c:layout>
              <c:dLblPos val="r"/>
              <c:showLegendKey val="0"/>
              <c:showVal val="1"/>
              <c:showCatName val="0"/>
              <c:showSerName val="0"/>
              <c:showPercent val="0"/>
              <c:showBubbleSize val="0"/>
            </c:dLbl>
            <c:dLbl>
              <c:idx val="4"/>
              <c:layout>
                <c:manualLayout>
                  <c:x val="-3.0122968946224897E-2"/>
                  <c:y val="-3.7170268610040767E-2"/>
                </c:manualLayout>
              </c:layout>
              <c:dLblPos val="r"/>
              <c:showLegendKey val="0"/>
              <c:showVal val="1"/>
              <c:showCatName val="0"/>
              <c:showSerName val="0"/>
              <c:showPercent val="0"/>
              <c:showBubbleSize val="0"/>
            </c:dLbl>
            <c:dLbl>
              <c:idx val="5"/>
              <c:layout>
                <c:manualLayout>
                  <c:x val="-2.3562903345568889E-2"/>
                  <c:y val="-3.1496509744792539E-2"/>
                </c:manualLayout>
              </c:layout>
              <c:dLblPos val="r"/>
              <c:showLegendKey val="0"/>
              <c:showVal val="1"/>
              <c:showCatName val="0"/>
              <c:showSerName val="0"/>
              <c:showPercent val="0"/>
              <c:showBubbleSize val="0"/>
            </c:dLbl>
            <c:dLbl>
              <c:idx val="6"/>
              <c:layout>
                <c:manualLayout>
                  <c:x val="-3.1762985346388897E-2"/>
                  <c:y val="-2.5823197632210866E-2"/>
                </c:manualLayout>
              </c:layout>
              <c:dLblPos val="r"/>
              <c:showLegendKey val="0"/>
              <c:showVal val="1"/>
              <c:showCatName val="0"/>
              <c:showSerName val="0"/>
              <c:showPercent val="0"/>
              <c:showBubbleSize val="0"/>
            </c:dLbl>
            <c:dLbl>
              <c:idx val="7"/>
              <c:layout>
                <c:manualLayout>
                  <c:x val="-3.0122968946224897E-2"/>
                  <c:y val="2.2404199475065618E-2"/>
                </c:manualLayout>
              </c:layout>
              <c:dLblPos val="r"/>
              <c:showLegendKey val="0"/>
              <c:showVal val="1"/>
              <c:showCatName val="0"/>
              <c:showSerName val="0"/>
              <c:showPercent val="0"/>
              <c:showBubbleSize val="0"/>
            </c:dLbl>
            <c:dLbl>
              <c:idx val="8"/>
              <c:layout>
                <c:manualLayout>
                  <c:x val="-2.6842936145896893E-2"/>
                  <c:y val="2.8077958340313843E-2"/>
                </c:manualLayout>
              </c:layout>
              <c:dLblPos val="r"/>
              <c:showLegendKey val="0"/>
              <c:showVal val="1"/>
              <c:showCatName val="0"/>
              <c:showSerName val="0"/>
              <c:showPercent val="0"/>
              <c:showBubbleSize val="0"/>
            </c:dLbl>
            <c:dLbl>
              <c:idx val="9"/>
              <c:layout>
                <c:manualLayout>
                  <c:x val="-2.8482952546060893E-2"/>
                  <c:y val="-2.5822750879544311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Sheet1!$A$2:$A$12</c:f>
              <c:strCache>
                <c:ptCount val="11"/>
                <c:pt idx="0">
                  <c:v>Student
Clinics</c:v>
                </c:pt>
                <c:pt idx="1">
                  <c:v>FP</c:v>
                </c:pt>
                <c:pt idx="2">
                  <c:v>GE</c:v>
                </c:pt>
                <c:pt idx="3">
                  <c:v>GPE</c:v>
                </c:pt>
                <c:pt idx="4">
                  <c:v>GPR</c:v>
                </c:pt>
                <c:pt idx="5">
                  <c:v>Hialeah</c:v>
                </c:pt>
                <c:pt idx="6">
                  <c:v>OM</c:v>
                </c:pt>
                <c:pt idx="7">
                  <c:v>OR</c:v>
                </c:pt>
                <c:pt idx="8">
                  <c:v>OS</c:v>
                </c:pt>
                <c:pt idx="9">
                  <c:v>PD</c:v>
                </c:pt>
                <c:pt idx="10">
                  <c:v>SP</c:v>
                </c:pt>
              </c:strCache>
            </c:strRef>
          </c:cat>
          <c:val>
            <c:numRef>
              <c:f>Sheet1!$B$2:$B$12</c:f>
              <c:numCache>
                <c:formatCode>0.00</c:formatCode>
                <c:ptCount val="11"/>
                <c:pt idx="0">
                  <c:v>4.93</c:v>
                </c:pt>
                <c:pt idx="1">
                  <c:v>4.87</c:v>
                </c:pt>
                <c:pt idx="2">
                  <c:v>4.8499999999999996</c:v>
                </c:pt>
                <c:pt idx="3">
                  <c:v>4.9000000000000004</c:v>
                </c:pt>
                <c:pt idx="4">
                  <c:v>4.95</c:v>
                </c:pt>
                <c:pt idx="5">
                  <c:v>4.87</c:v>
                </c:pt>
                <c:pt idx="6">
                  <c:v>5</c:v>
                </c:pt>
                <c:pt idx="7">
                  <c:v>4.8499999999999996</c:v>
                </c:pt>
                <c:pt idx="8">
                  <c:v>4.76</c:v>
                </c:pt>
                <c:pt idx="9">
                  <c:v>4.8899999999999997</c:v>
                </c:pt>
                <c:pt idx="10">
                  <c:v>4.91</c:v>
                </c:pt>
              </c:numCache>
            </c:numRef>
          </c:val>
          <c:smooth val="0"/>
        </c:ser>
        <c:dLbls>
          <c:showLegendKey val="0"/>
          <c:showVal val="1"/>
          <c:showCatName val="0"/>
          <c:showSerName val="0"/>
          <c:showPercent val="0"/>
          <c:showBubbleSize val="0"/>
        </c:dLbls>
        <c:marker val="1"/>
        <c:smooth val="0"/>
        <c:axId val="176262528"/>
        <c:axId val="176277760"/>
      </c:lineChart>
      <c:catAx>
        <c:axId val="176262528"/>
        <c:scaling>
          <c:orientation val="minMax"/>
        </c:scaling>
        <c:delete val="0"/>
        <c:axPos val="b"/>
        <c:majorTickMark val="out"/>
        <c:minorTickMark val="none"/>
        <c:tickLblPos val="nextTo"/>
        <c:crossAx val="176277760"/>
        <c:crosses val="autoZero"/>
        <c:auto val="1"/>
        <c:lblAlgn val="ctr"/>
        <c:lblOffset val="100"/>
        <c:noMultiLvlLbl val="0"/>
      </c:catAx>
      <c:valAx>
        <c:axId val="176277760"/>
        <c:scaling>
          <c:orientation val="minMax"/>
          <c:max val="5"/>
          <c:min val="4"/>
        </c:scaling>
        <c:delete val="0"/>
        <c:axPos val="l"/>
        <c:majorGridlines/>
        <c:numFmt formatCode="0.00" sourceLinked="1"/>
        <c:majorTickMark val="out"/>
        <c:minorTickMark val="none"/>
        <c:tickLblPos val="nextTo"/>
        <c:crossAx val="176262528"/>
        <c:crosses val="autoZero"/>
        <c:crossBetween val="between"/>
        <c:majorUnit val="0.25"/>
      </c:valAx>
    </c:plotArea>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Age</a:t>
            </a:r>
          </a:p>
        </c:rich>
      </c:tx>
      <c:layout/>
      <c:overlay val="0"/>
    </c:title>
    <c:autoTitleDeleted val="0"/>
    <c:plotArea>
      <c:layout/>
      <c:barChart>
        <c:barDir val="col"/>
        <c:grouping val="clustered"/>
        <c:varyColors val="0"/>
        <c:ser>
          <c:idx val="0"/>
          <c:order val="0"/>
          <c:tx>
            <c:strRef>
              <c:f>Sheet1!$B$1</c:f>
              <c:strCache>
                <c:ptCount val="1"/>
                <c:pt idx="0">
                  <c:v>Student Clinics</c:v>
                </c:pt>
              </c:strCache>
            </c:strRef>
          </c:tx>
          <c:invertIfNegative val="0"/>
          <c:cat>
            <c:strRef>
              <c:f>Sheet1!$A$2:$A$5</c:f>
              <c:strCache>
                <c:ptCount val="4"/>
                <c:pt idx="0">
                  <c:v>20 or Under</c:v>
                </c:pt>
                <c:pt idx="1">
                  <c:v>21 to 40</c:v>
                </c:pt>
                <c:pt idx="2">
                  <c:v>41 to 60</c:v>
                </c:pt>
                <c:pt idx="3">
                  <c:v>Over 60</c:v>
                </c:pt>
              </c:strCache>
            </c:strRef>
          </c:cat>
          <c:val>
            <c:numRef>
              <c:f>Sheet1!$B$2:$B$5</c:f>
              <c:numCache>
                <c:formatCode>0.0%</c:formatCode>
                <c:ptCount val="4"/>
                <c:pt idx="0">
                  <c:v>2.7E-2</c:v>
                </c:pt>
                <c:pt idx="1">
                  <c:v>0.14399999999999999</c:v>
                </c:pt>
                <c:pt idx="2">
                  <c:v>0.28100000000000003</c:v>
                </c:pt>
                <c:pt idx="3">
                  <c:v>0.54700000000000004</c:v>
                </c:pt>
              </c:numCache>
            </c:numRef>
          </c:val>
        </c:ser>
        <c:ser>
          <c:idx val="1"/>
          <c:order val="1"/>
          <c:tx>
            <c:strRef>
              <c:f>Sheet1!$C$1</c:f>
              <c:strCache>
                <c:ptCount val="1"/>
                <c:pt idx="0">
                  <c:v>Faculty Practice</c:v>
                </c:pt>
              </c:strCache>
            </c:strRef>
          </c:tx>
          <c:spPr>
            <a:solidFill>
              <a:schemeClr val="accent6"/>
            </a:solidFill>
            <a:ln>
              <a:solidFill>
                <a:schemeClr val="accent6"/>
              </a:solidFill>
            </a:ln>
          </c:spPr>
          <c:invertIfNegative val="0"/>
          <c:cat>
            <c:strRef>
              <c:f>Sheet1!$A$2:$A$5</c:f>
              <c:strCache>
                <c:ptCount val="4"/>
                <c:pt idx="0">
                  <c:v>20 or Under</c:v>
                </c:pt>
                <c:pt idx="1">
                  <c:v>21 to 40</c:v>
                </c:pt>
                <c:pt idx="2">
                  <c:v>41 to 60</c:v>
                </c:pt>
                <c:pt idx="3">
                  <c:v>Over 60</c:v>
                </c:pt>
              </c:strCache>
            </c:strRef>
          </c:cat>
          <c:val>
            <c:numRef>
              <c:f>Sheet1!$C$2:$C$5</c:f>
              <c:numCache>
                <c:formatCode>0.0%</c:formatCode>
                <c:ptCount val="4"/>
                <c:pt idx="0">
                  <c:v>0.30399999999999999</c:v>
                </c:pt>
                <c:pt idx="1">
                  <c:v>0.13</c:v>
                </c:pt>
                <c:pt idx="2">
                  <c:v>0.30399999999999999</c:v>
                </c:pt>
                <c:pt idx="3">
                  <c:v>0.26100000000000001</c:v>
                </c:pt>
              </c:numCache>
            </c:numRef>
          </c:val>
        </c:ser>
        <c:ser>
          <c:idx val="2"/>
          <c:order val="2"/>
          <c:tx>
            <c:strRef>
              <c:f>Sheet1!$D$1</c:f>
              <c:strCache>
                <c:ptCount val="1"/>
                <c:pt idx="0">
                  <c:v>Graduate Endodontics</c:v>
                </c:pt>
              </c:strCache>
            </c:strRef>
          </c:tx>
          <c:invertIfNegative val="0"/>
          <c:cat>
            <c:strRef>
              <c:f>Sheet1!$A$2:$A$5</c:f>
              <c:strCache>
                <c:ptCount val="4"/>
                <c:pt idx="0">
                  <c:v>20 or Under</c:v>
                </c:pt>
                <c:pt idx="1">
                  <c:v>21 to 40</c:v>
                </c:pt>
                <c:pt idx="2">
                  <c:v>41 to 60</c:v>
                </c:pt>
                <c:pt idx="3">
                  <c:v>Over 60</c:v>
                </c:pt>
              </c:strCache>
            </c:strRef>
          </c:cat>
          <c:val>
            <c:numRef>
              <c:f>Sheet1!$D$2:$D$5</c:f>
              <c:numCache>
                <c:formatCode>0.0%</c:formatCode>
                <c:ptCount val="4"/>
                <c:pt idx="0">
                  <c:v>0.37</c:v>
                </c:pt>
                <c:pt idx="1">
                  <c:v>0.185</c:v>
                </c:pt>
                <c:pt idx="2">
                  <c:v>0.222</c:v>
                </c:pt>
                <c:pt idx="3">
                  <c:v>0.222</c:v>
                </c:pt>
              </c:numCache>
            </c:numRef>
          </c:val>
        </c:ser>
        <c:ser>
          <c:idx val="3"/>
          <c:order val="3"/>
          <c:tx>
            <c:strRef>
              <c:f>Sheet1!$E$1</c:f>
              <c:strCache>
                <c:ptCount val="1"/>
                <c:pt idx="0">
                  <c:v>Grad Periodontics</c:v>
                </c:pt>
              </c:strCache>
            </c:strRef>
          </c:tx>
          <c:spPr>
            <a:solidFill>
              <a:schemeClr val="tx2"/>
            </a:solidFill>
            <a:ln>
              <a:solidFill>
                <a:schemeClr val="tx2"/>
              </a:solidFill>
            </a:ln>
          </c:spPr>
          <c:invertIfNegative val="0"/>
          <c:cat>
            <c:strRef>
              <c:f>Sheet1!$A$2:$A$5</c:f>
              <c:strCache>
                <c:ptCount val="4"/>
                <c:pt idx="0">
                  <c:v>20 or Under</c:v>
                </c:pt>
                <c:pt idx="1">
                  <c:v>21 to 40</c:v>
                </c:pt>
                <c:pt idx="2">
                  <c:v>41 to 60</c:v>
                </c:pt>
                <c:pt idx="3">
                  <c:v>Over 60</c:v>
                </c:pt>
              </c:strCache>
            </c:strRef>
          </c:cat>
          <c:val>
            <c:numRef>
              <c:f>Sheet1!$E$2:$E$5</c:f>
              <c:numCache>
                <c:formatCode>0.0%</c:formatCode>
                <c:ptCount val="4"/>
                <c:pt idx="0">
                  <c:v>7.0999999999999994E-2</c:v>
                </c:pt>
                <c:pt idx="1">
                  <c:v>0.17899999999999999</c:v>
                </c:pt>
                <c:pt idx="2">
                  <c:v>0.28599999999999998</c:v>
                </c:pt>
                <c:pt idx="3">
                  <c:v>0.46400000000000002</c:v>
                </c:pt>
              </c:numCache>
            </c:numRef>
          </c:val>
        </c:ser>
        <c:ser>
          <c:idx val="4"/>
          <c:order val="4"/>
          <c:tx>
            <c:strRef>
              <c:f>Sheet1!$F$1</c:f>
              <c:strCache>
                <c:ptCount val="1"/>
                <c:pt idx="0">
                  <c:v>Grad Prosthodontics</c:v>
                </c:pt>
              </c:strCache>
            </c:strRef>
          </c:tx>
          <c:spPr>
            <a:solidFill>
              <a:schemeClr val="accent1">
                <a:lumMod val="20000"/>
                <a:lumOff val="80000"/>
              </a:schemeClr>
            </a:solidFill>
            <a:ln>
              <a:solidFill>
                <a:schemeClr val="accent1">
                  <a:lumMod val="20000"/>
                  <a:lumOff val="80000"/>
                </a:schemeClr>
              </a:solidFill>
            </a:ln>
          </c:spPr>
          <c:invertIfNegative val="0"/>
          <c:cat>
            <c:strRef>
              <c:f>Sheet1!$A$2:$A$5</c:f>
              <c:strCache>
                <c:ptCount val="4"/>
                <c:pt idx="0">
                  <c:v>20 or Under</c:v>
                </c:pt>
                <c:pt idx="1">
                  <c:v>21 to 40</c:v>
                </c:pt>
                <c:pt idx="2">
                  <c:v>41 to 60</c:v>
                </c:pt>
                <c:pt idx="3">
                  <c:v>Over 60</c:v>
                </c:pt>
              </c:strCache>
            </c:strRef>
          </c:cat>
          <c:val>
            <c:numRef>
              <c:f>Sheet1!$F$2:$F$5</c:f>
              <c:numCache>
                <c:formatCode>0.0%</c:formatCode>
                <c:ptCount val="4"/>
                <c:pt idx="0">
                  <c:v>0</c:v>
                </c:pt>
                <c:pt idx="1">
                  <c:v>5.2999999999999999E-2</c:v>
                </c:pt>
                <c:pt idx="2">
                  <c:v>0.28899999999999998</c:v>
                </c:pt>
                <c:pt idx="3">
                  <c:v>0.65800000000000003</c:v>
                </c:pt>
              </c:numCache>
            </c:numRef>
          </c:val>
        </c:ser>
        <c:ser>
          <c:idx val="5"/>
          <c:order val="5"/>
          <c:tx>
            <c:strRef>
              <c:f>Sheet1!$G$1</c:f>
              <c:strCache>
                <c:ptCount val="1"/>
                <c:pt idx="0">
                  <c:v>Hialeah</c:v>
                </c:pt>
              </c:strCache>
            </c:strRef>
          </c:tx>
          <c:spPr>
            <a:solidFill>
              <a:schemeClr val="accent6">
                <a:lumMod val="60000"/>
                <a:lumOff val="40000"/>
              </a:schemeClr>
            </a:solidFill>
            <a:ln>
              <a:solidFill>
                <a:schemeClr val="accent6">
                  <a:lumMod val="40000"/>
                  <a:lumOff val="60000"/>
                </a:schemeClr>
              </a:solidFill>
            </a:ln>
          </c:spPr>
          <c:invertIfNegative val="0"/>
          <c:cat>
            <c:strRef>
              <c:f>Sheet1!$A$2:$A$5</c:f>
              <c:strCache>
                <c:ptCount val="4"/>
                <c:pt idx="0">
                  <c:v>20 or Under</c:v>
                </c:pt>
                <c:pt idx="1">
                  <c:v>21 to 40</c:v>
                </c:pt>
                <c:pt idx="2">
                  <c:v>41 to 60</c:v>
                </c:pt>
                <c:pt idx="3">
                  <c:v>Over 60</c:v>
                </c:pt>
              </c:strCache>
            </c:strRef>
          </c:cat>
          <c:val>
            <c:numRef>
              <c:f>Sheet1!$G$2:$G$5</c:f>
              <c:numCache>
                <c:formatCode>0.0%</c:formatCode>
                <c:ptCount val="4"/>
                <c:pt idx="0">
                  <c:v>0.192</c:v>
                </c:pt>
                <c:pt idx="1">
                  <c:v>0.25600000000000001</c:v>
                </c:pt>
                <c:pt idx="2">
                  <c:v>0.33300000000000002</c:v>
                </c:pt>
                <c:pt idx="3">
                  <c:v>0.218</c:v>
                </c:pt>
              </c:numCache>
            </c:numRef>
          </c:val>
        </c:ser>
        <c:ser>
          <c:idx val="6"/>
          <c:order val="6"/>
          <c:tx>
            <c:strRef>
              <c:f>Sheet1!$H$1</c:f>
              <c:strCache>
                <c:ptCount val="1"/>
                <c:pt idx="0">
                  <c:v>Oral Medicine</c:v>
                </c:pt>
              </c:strCache>
            </c:strRef>
          </c:tx>
          <c:spPr>
            <a:solidFill>
              <a:schemeClr val="accent3">
                <a:lumMod val="50000"/>
              </a:schemeClr>
            </a:solidFill>
            <a:ln>
              <a:solidFill>
                <a:schemeClr val="accent3">
                  <a:lumMod val="50000"/>
                </a:schemeClr>
              </a:solidFill>
            </a:ln>
          </c:spPr>
          <c:invertIfNegative val="0"/>
          <c:cat>
            <c:strRef>
              <c:f>Sheet1!$A$2:$A$5</c:f>
              <c:strCache>
                <c:ptCount val="4"/>
                <c:pt idx="0">
                  <c:v>20 or Under</c:v>
                </c:pt>
                <c:pt idx="1">
                  <c:v>21 to 40</c:v>
                </c:pt>
                <c:pt idx="2">
                  <c:v>41 to 60</c:v>
                </c:pt>
                <c:pt idx="3">
                  <c:v>Over 60</c:v>
                </c:pt>
              </c:strCache>
            </c:strRef>
          </c:cat>
          <c:val>
            <c:numRef>
              <c:f>Sheet1!$H$2:$H$5</c:f>
              <c:numCache>
                <c:formatCode>0.0%</c:formatCode>
                <c:ptCount val="4"/>
                <c:pt idx="0">
                  <c:v>0</c:v>
                </c:pt>
                <c:pt idx="1">
                  <c:v>0</c:v>
                </c:pt>
                <c:pt idx="2">
                  <c:v>0.33300000000000002</c:v>
                </c:pt>
                <c:pt idx="3">
                  <c:v>0.66700000000000004</c:v>
                </c:pt>
              </c:numCache>
            </c:numRef>
          </c:val>
        </c:ser>
        <c:ser>
          <c:idx val="7"/>
          <c:order val="7"/>
          <c:tx>
            <c:strRef>
              <c:f>Sheet1!$I$1</c:f>
              <c:strCache>
                <c:ptCount val="1"/>
                <c:pt idx="0">
                  <c:v>Orthodontics</c:v>
                </c:pt>
              </c:strCache>
            </c:strRef>
          </c:tx>
          <c:spPr>
            <a:solidFill>
              <a:srgbClr val="0070C0"/>
            </a:solidFill>
            <a:ln>
              <a:solidFill>
                <a:srgbClr val="0070C0"/>
              </a:solidFill>
            </a:ln>
          </c:spPr>
          <c:invertIfNegative val="0"/>
          <c:cat>
            <c:strRef>
              <c:f>Sheet1!$A$2:$A$5</c:f>
              <c:strCache>
                <c:ptCount val="4"/>
                <c:pt idx="0">
                  <c:v>20 or Under</c:v>
                </c:pt>
                <c:pt idx="1">
                  <c:v>21 to 40</c:v>
                </c:pt>
                <c:pt idx="2">
                  <c:v>41 to 60</c:v>
                </c:pt>
                <c:pt idx="3">
                  <c:v>Over 60</c:v>
                </c:pt>
              </c:strCache>
            </c:strRef>
          </c:cat>
          <c:val>
            <c:numRef>
              <c:f>Sheet1!$I$2:$I$5</c:f>
              <c:numCache>
                <c:formatCode>0.0%</c:formatCode>
                <c:ptCount val="4"/>
                <c:pt idx="0">
                  <c:v>0.56599999999999995</c:v>
                </c:pt>
                <c:pt idx="1">
                  <c:v>0.30199999999999999</c:v>
                </c:pt>
                <c:pt idx="2">
                  <c:v>0.113</c:v>
                </c:pt>
                <c:pt idx="3">
                  <c:v>1.9E-2</c:v>
                </c:pt>
              </c:numCache>
            </c:numRef>
          </c:val>
        </c:ser>
        <c:ser>
          <c:idx val="8"/>
          <c:order val="8"/>
          <c:tx>
            <c:strRef>
              <c:f>Sheet1!$J$1</c:f>
              <c:strCache>
                <c:ptCount val="1"/>
                <c:pt idx="0">
                  <c:v>Oral Surgery</c:v>
                </c:pt>
              </c:strCache>
            </c:strRef>
          </c:tx>
          <c:invertIfNegative val="0"/>
          <c:cat>
            <c:strRef>
              <c:f>Sheet1!$A$2:$A$5</c:f>
              <c:strCache>
                <c:ptCount val="4"/>
                <c:pt idx="0">
                  <c:v>20 or Under</c:v>
                </c:pt>
                <c:pt idx="1">
                  <c:v>21 to 40</c:v>
                </c:pt>
                <c:pt idx="2">
                  <c:v>41 to 60</c:v>
                </c:pt>
                <c:pt idx="3">
                  <c:v>Over 60</c:v>
                </c:pt>
              </c:strCache>
            </c:strRef>
          </c:cat>
          <c:val>
            <c:numRef>
              <c:f>Sheet1!$J$2:$J$5</c:f>
              <c:numCache>
                <c:formatCode>0.0%</c:formatCode>
                <c:ptCount val="4"/>
                <c:pt idx="0">
                  <c:v>3.1E-2</c:v>
                </c:pt>
                <c:pt idx="1">
                  <c:v>0.34399999999999997</c:v>
                </c:pt>
                <c:pt idx="2">
                  <c:v>0.25</c:v>
                </c:pt>
                <c:pt idx="3">
                  <c:v>0.375</c:v>
                </c:pt>
              </c:numCache>
            </c:numRef>
          </c:val>
        </c:ser>
        <c:ser>
          <c:idx val="9"/>
          <c:order val="9"/>
          <c:tx>
            <c:strRef>
              <c:f>Sheet1!$K$1</c:f>
              <c:strCache>
                <c:ptCount val="1"/>
                <c:pt idx="0">
                  <c:v>Pediatrics</c:v>
                </c:pt>
              </c:strCache>
            </c:strRef>
          </c:tx>
          <c:invertIfNegative val="0"/>
          <c:cat>
            <c:strRef>
              <c:f>Sheet1!$A$2:$A$5</c:f>
              <c:strCache>
                <c:ptCount val="4"/>
                <c:pt idx="0">
                  <c:v>20 or Under</c:v>
                </c:pt>
                <c:pt idx="1">
                  <c:v>21 to 40</c:v>
                </c:pt>
                <c:pt idx="2">
                  <c:v>41 to 60</c:v>
                </c:pt>
                <c:pt idx="3">
                  <c:v>Over 60</c:v>
                </c:pt>
              </c:strCache>
            </c:strRef>
          </c:cat>
          <c:val>
            <c:numRef>
              <c:f>Sheet1!$K$2:$K$5</c:f>
              <c:numCache>
                <c:formatCode>0.0%</c:formatCode>
                <c:ptCount val="4"/>
                <c:pt idx="0">
                  <c:v>0.73499999999999999</c:v>
                </c:pt>
                <c:pt idx="1">
                  <c:v>0.20599999999999999</c:v>
                </c:pt>
                <c:pt idx="2">
                  <c:v>2.9000000000000001E-2</c:v>
                </c:pt>
                <c:pt idx="3">
                  <c:v>2.9000000000000001E-2</c:v>
                </c:pt>
              </c:numCache>
            </c:numRef>
          </c:val>
        </c:ser>
        <c:ser>
          <c:idx val="10"/>
          <c:order val="10"/>
          <c:tx>
            <c:strRef>
              <c:f>Sheet1!$L$1</c:f>
              <c:strCache>
                <c:ptCount val="1"/>
                <c:pt idx="0">
                  <c:v>St. Pete</c:v>
                </c:pt>
              </c:strCache>
            </c:strRef>
          </c:tx>
          <c:invertIfNegative val="0"/>
          <c:cat>
            <c:strRef>
              <c:f>Sheet1!$A$2:$A$5</c:f>
              <c:strCache>
                <c:ptCount val="4"/>
                <c:pt idx="0">
                  <c:v>20 or Under</c:v>
                </c:pt>
                <c:pt idx="1">
                  <c:v>21 to 40</c:v>
                </c:pt>
                <c:pt idx="2">
                  <c:v>41 to 60</c:v>
                </c:pt>
                <c:pt idx="3">
                  <c:v>Over 60</c:v>
                </c:pt>
              </c:strCache>
            </c:strRef>
          </c:cat>
          <c:val>
            <c:numRef>
              <c:f>Sheet1!$L$2:$L$5</c:f>
              <c:numCache>
                <c:formatCode>0.0%</c:formatCode>
                <c:ptCount val="4"/>
                <c:pt idx="0">
                  <c:v>0.104</c:v>
                </c:pt>
                <c:pt idx="1">
                  <c:v>0.16700000000000001</c:v>
                </c:pt>
                <c:pt idx="2">
                  <c:v>0.188</c:v>
                </c:pt>
                <c:pt idx="3">
                  <c:v>0.54200000000000004</c:v>
                </c:pt>
              </c:numCache>
            </c:numRef>
          </c:val>
        </c:ser>
        <c:dLbls>
          <c:showLegendKey val="0"/>
          <c:showVal val="0"/>
          <c:showCatName val="0"/>
          <c:showSerName val="0"/>
          <c:showPercent val="0"/>
          <c:showBubbleSize val="0"/>
        </c:dLbls>
        <c:gapWidth val="150"/>
        <c:axId val="125790848"/>
        <c:axId val="125828480"/>
      </c:barChart>
      <c:catAx>
        <c:axId val="125790848"/>
        <c:scaling>
          <c:orientation val="minMax"/>
        </c:scaling>
        <c:delete val="0"/>
        <c:axPos val="b"/>
        <c:majorTickMark val="out"/>
        <c:minorTickMark val="none"/>
        <c:tickLblPos val="nextTo"/>
        <c:crossAx val="125828480"/>
        <c:crosses val="autoZero"/>
        <c:auto val="1"/>
        <c:lblAlgn val="ctr"/>
        <c:lblOffset val="100"/>
        <c:noMultiLvlLbl val="0"/>
      </c:catAx>
      <c:valAx>
        <c:axId val="125828480"/>
        <c:scaling>
          <c:orientation val="minMax"/>
        </c:scaling>
        <c:delete val="0"/>
        <c:axPos val="l"/>
        <c:majorGridlines/>
        <c:numFmt formatCode="0.0%" sourceLinked="1"/>
        <c:majorTickMark val="out"/>
        <c:minorTickMark val="none"/>
        <c:tickLblPos val="nextTo"/>
        <c:crossAx val="125790848"/>
        <c:crosses val="autoZero"/>
        <c:crossBetween val="between"/>
      </c:valAx>
    </c:plotArea>
    <c:legend>
      <c:legendPos val="r"/>
      <c:layout>
        <c:manualLayout>
          <c:xMode val="edge"/>
          <c:yMode val="edge"/>
          <c:x val="0.83603926387814265"/>
          <c:y val="0.15643407605964166"/>
          <c:w val="0.1639607361218576"/>
          <c:h val="0.70536186965990955"/>
        </c:manualLayout>
      </c:layout>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Gender</a:t>
            </a:r>
          </a:p>
        </c:rich>
      </c:tx>
      <c:layout/>
      <c:overlay val="0"/>
    </c:title>
    <c:autoTitleDeleted val="0"/>
    <c:plotArea>
      <c:layout/>
      <c:barChart>
        <c:barDir val="col"/>
        <c:grouping val="clustered"/>
        <c:varyColors val="0"/>
        <c:ser>
          <c:idx val="0"/>
          <c:order val="0"/>
          <c:tx>
            <c:strRef>
              <c:f>Sheet1!$B$1</c:f>
              <c:strCache>
                <c:ptCount val="1"/>
                <c:pt idx="0">
                  <c:v>Student Clinics</c:v>
                </c:pt>
              </c:strCache>
            </c:strRef>
          </c:tx>
          <c:invertIfNegative val="0"/>
          <c:cat>
            <c:strRef>
              <c:f>Sheet1!$A$2:$A$3</c:f>
              <c:strCache>
                <c:ptCount val="2"/>
                <c:pt idx="0">
                  <c:v>Female</c:v>
                </c:pt>
                <c:pt idx="1">
                  <c:v>Male</c:v>
                </c:pt>
              </c:strCache>
            </c:strRef>
          </c:cat>
          <c:val>
            <c:numRef>
              <c:f>Sheet1!$B$2:$B$3</c:f>
              <c:numCache>
                <c:formatCode>0.0%</c:formatCode>
                <c:ptCount val="2"/>
                <c:pt idx="0">
                  <c:v>0.47699999999999998</c:v>
                </c:pt>
                <c:pt idx="1">
                  <c:v>0.52300000000000002</c:v>
                </c:pt>
              </c:numCache>
            </c:numRef>
          </c:val>
        </c:ser>
        <c:ser>
          <c:idx val="1"/>
          <c:order val="1"/>
          <c:tx>
            <c:strRef>
              <c:f>Sheet1!$C$1</c:f>
              <c:strCache>
                <c:ptCount val="1"/>
                <c:pt idx="0">
                  <c:v>Faculty Practice</c:v>
                </c:pt>
              </c:strCache>
            </c:strRef>
          </c:tx>
          <c:spPr>
            <a:solidFill>
              <a:schemeClr val="accent6"/>
            </a:solidFill>
            <a:ln>
              <a:solidFill>
                <a:srgbClr val="F79646"/>
              </a:solidFill>
            </a:ln>
          </c:spPr>
          <c:invertIfNegative val="0"/>
          <c:cat>
            <c:strRef>
              <c:f>Sheet1!$A$2:$A$3</c:f>
              <c:strCache>
                <c:ptCount val="2"/>
                <c:pt idx="0">
                  <c:v>Female</c:v>
                </c:pt>
                <c:pt idx="1">
                  <c:v>Male</c:v>
                </c:pt>
              </c:strCache>
            </c:strRef>
          </c:cat>
          <c:val>
            <c:numRef>
              <c:f>Sheet1!$C$2:$C$3</c:f>
              <c:numCache>
                <c:formatCode>0.0%</c:formatCode>
                <c:ptCount val="2"/>
                <c:pt idx="0">
                  <c:v>0.54500000000000004</c:v>
                </c:pt>
                <c:pt idx="1">
                  <c:v>0.45500000000000002</c:v>
                </c:pt>
              </c:numCache>
            </c:numRef>
          </c:val>
        </c:ser>
        <c:ser>
          <c:idx val="2"/>
          <c:order val="2"/>
          <c:tx>
            <c:strRef>
              <c:f>Sheet1!$D$1</c:f>
              <c:strCache>
                <c:ptCount val="1"/>
                <c:pt idx="0">
                  <c:v>Graduate Endodontics</c:v>
                </c:pt>
              </c:strCache>
            </c:strRef>
          </c:tx>
          <c:invertIfNegative val="0"/>
          <c:cat>
            <c:strRef>
              <c:f>Sheet1!$A$2:$A$3</c:f>
              <c:strCache>
                <c:ptCount val="2"/>
                <c:pt idx="0">
                  <c:v>Female</c:v>
                </c:pt>
                <c:pt idx="1">
                  <c:v>Male</c:v>
                </c:pt>
              </c:strCache>
            </c:strRef>
          </c:cat>
          <c:val>
            <c:numRef>
              <c:f>Sheet1!$D$2:$D$3</c:f>
              <c:numCache>
                <c:formatCode>0.0%</c:formatCode>
                <c:ptCount val="2"/>
                <c:pt idx="0">
                  <c:v>0.48099999999999998</c:v>
                </c:pt>
                <c:pt idx="1">
                  <c:v>0.51900000000000002</c:v>
                </c:pt>
              </c:numCache>
            </c:numRef>
          </c:val>
        </c:ser>
        <c:ser>
          <c:idx val="3"/>
          <c:order val="3"/>
          <c:tx>
            <c:strRef>
              <c:f>Sheet1!$E$1</c:f>
              <c:strCache>
                <c:ptCount val="1"/>
                <c:pt idx="0">
                  <c:v>Grad Periodontics</c:v>
                </c:pt>
              </c:strCache>
            </c:strRef>
          </c:tx>
          <c:spPr>
            <a:solidFill>
              <a:schemeClr val="tx2"/>
            </a:solidFill>
            <a:ln>
              <a:solidFill>
                <a:schemeClr val="tx2"/>
              </a:solidFill>
            </a:ln>
          </c:spPr>
          <c:invertIfNegative val="0"/>
          <c:cat>
            <c:strRef>
              <c:f>Sheet1!$A$2:$A$3</c:f>
              <c:strCache>
                <c:ptCount val="2"/>
                <c:pt idx="0">
                  <c:v>Female</c:v>
                </c:pt>
                <c:pt idx="1">
                  <c:v>Male</c:v>
                </c:pt>
              </c:strCache>
            </c:strRef>
          </c:cat>
          <c:val>
            <c:numRef>
              <c:f>Sheet1!$E$2:$E$3</c:f>
              <c:numCache>
                <c:formatCode>0.0%</c:formatCode>
                <c:ptCount val="2"/>
                <c:pt idx="0">
                  <c:v>0.56699999999999995</c:v>
                </c:pt>
                <c:pt idx="1">
                  <c:v>0.433</c:v>
                </c:pt>
              </c:numCache>
            </c:numRef>
          </c:val>
        </c:ser>
        <c:ser>
          <c:idx val="4"/>
          <c:order val="4"/>
          <c:tx>
            <c:strRef>
              <c:f>Sheet1!$F$1</c:f>
              <c:strCache>
                <c:ptCount val="1"/>
                <c:pt idx="0">
                  <c:v>Grad Prosthodontics</c:v>
                </c:pt>
              </c:strCache>
            </c:strRef>
          </c:tx>
          <c:spPr>
            <a:solidFill>
              <a:schemeClr val="accent1">
                <a:lumMod val="20000"/>
                <a:lumOff val="80000"/>
              </a:schemeClr>
            </a:solidFill>
            <a:ln>
              <a:solidFill>
                <a:schemeClr val="accent1">
                  <a:lumMod val="20000"/>
                  <a:lumOff val="80000"/>
                </a:schemeClr>
              </a:solidFill>
            </a:ln>
          </c:spPr>
          <c:invertIfNegative val="0"/>
          <c:cat>
            <c:strRef>
              <c:f>Sheet1!$A$2:$A$3</c:f>
              <c:strCache>
                <c:ptCount val="2"/>
                <c:pt idx="0">
                  <c:v>Female</c:v>
                </c:pt>
                <c:pt idx="1">
                  <c:v>Male</c:v>
                </c:pt>
              </c:strCache>
            </c:strRef>
          </c:cat>
          <c:val>
            <c:numRef>
              <c:f>Sheet1!$F$2:$F$3</c:f>
              <c:numCache>
                <c:formatCode>0.0%</c:formatCode>
                <c:ptCount val="2"/>
                <c:pt idx="0">
                  <c:v>0.54300000000000004</c:v>
                </c:pt>
                <c:pt idx="1">
                  <c:v>0.45700000000000002</c:v>
                </c:pt>
              </c:numCache>
            </c:numRef>
          </c:val>
        </c:ser>
        <c:ser>
          <c:idx val="5"/>
          <c:order val="5"/>
          <c:tx>
            <c:strRef>
              <c:f>Sheet1!$G$1</c:f>
              <c:strCache>
                <c:ptCount val="1"/>
                <c:pt idx="0">
                  <c:v>Hialeah</c:v>
                </c:pt>
              </c:strCache>
            </c:strRef>
          </c:tx>
          <c:spPr>
            <a:solidFill>
              <a:schemeClr val="accent6">
                <a:lumMod val="60000"/>
                <a:lumOff val="40000"/>
              </a:schemeClr>
            </a:solidFill>
            <a:ln>
              <a:solidFill>
                <a:schemeClr val="accent6">
                  <a:lumMod val="40000"/>
                  <a:lumOff val="60000"/>
                </a:schemeClr>
              </a:solidFill>
            </a:ln>
          </c:spPr>
          <c:invertIfNegative val="0"/>
          <c:cat>
            <c:strRef>
              <c:f>Sheet1!$A$2:$A$3</c:f>
              <c:strCache>
                <c:ptCount val="2"/>
                <c:pt idx="0">
                  <c:v>Female</c:v>
                </c:pt>
                <c:pt idx="1">
                  <c:v>Male</c:v>
                </c:pt>
              </c:strCache>
            </c:strRef>
          </c:cat>
          <c:val>
            <c:numRef>
              <c:f>Sheet1!$G$2:$G$3</c:f>
              <c:numCache>
                <c:formatCode>0.0%</c:formatCode>
                <c:ptCount val="2"/>
                <c:pt idx="0">
                  <c:v>0.60799999999999998</c:v>
                </c:pt>
                <c:pt idx="1">
                  <c:v>0.39200000000000002</c:v>
                </c:pt>
              </c:numCache>
            </c:numRef>
          </c:val>
        </c:ser>
        <c:ser>
          <c:idx val="6"/>
          <c:order val="6"/>
          <c:tx>
            <c:strRef>
              <c:f>Sheet1!$H$1</c:f>
              <c:strCache>
                <c:ptCount val="1"/>
                <c:pt idx="0">
                  <c:v>Oral Medicine</c:v>
                </c:pt>
              </c:strCache>
            </c:strRef>
          </c:tx>
          <c:spPr>
            <a:solidFill>
              <a:schemeClr val="accent3">
                <a:lumMod val="50000"/>
              </a:schemeClr>
            </a:solidFill>
            <a:ln>
              <a:solidFill>
                <a:schemeClr val="accent3">
                  <a:lumMod val="50000"/>
                </a:schemeClr>
              </a:solidFill>
            </a:ln>
          </c:spPr>
          <c:invertIfNegative val="0"/>
          <c:cat>
            <c:strRef>
              <c:f>Sheet1!$A$2:$A$3</c:f>
              <c:strCache>
                <c:ptCount val="2"/>
                <c:pt idx="0">
                  <c:v>Female</c:v>
                </c:pt>
                <c:pt idx="1">
                  <c:v>Male</c:v>
                </c:pt>
              </c:strCache>
            </c:strRef>
          </c:cat>
          <c:val>
            <c:numRef>
              <c:f>Sheet1!$H$2:$H$3</c:f>
              <c:numCache>
                <c:formatCode>0.0%</c:formatCode>
                <c:ptCount val="2"/>
                <c:pt idx="0">
                  <c:v>0.27800000000000002</c:v>
                </c:pt>
                <c:pt idx="1">
                  <c:v>0.72199999999999998</c:v>
                </c:pt>
              </c:numCache>
            </c:numRef>
          </c:val>
        </c:ser>
        <c:ser>
          <c:idx val="7"/>
          <c:order val="7"/>
          <c:tx>
            <c:strRef>
              <c:f>Sheet1!$I$1</c:f>
              <c:strCache>
                <c:ptCount val="1"/>
                <c:pt idx="0">
                  <c:v>Orthodontics</c:v>
                </c:pt>
              </c:strCache>
            </c:strRef>
          </c:tx>
          <c:spPr>
            <a:solidFill>
              <a:srgbClr val="0070C0"/>
            </a:solidFill>
            <a:ln>
              <a:solidFill>
                <a:srgbClr val="0070C0"/>
              </a:solidFill>
            </a:ln>
          </c:spPr>
          <c:invertIfNegative val="0"/>
          <c:cat>
            <c:strRef>
              <c:f>Sheet1!$A$2:$A$3</c:f>
              <c:strCache>
                <c:ptCount val="2"/>
                <c:pt idx="0">
                  <c:v>Female</c:v>
                </c:pt>
                <c:pt idx="1">
                  <c:v>Male</c:v>
                </c:pt>
              </c:strCache>
            </c:strRef>
          </c:cat>
          <c:val>
            <c:numRef>
              <c:f>Sheet1!$I$2:$I$3</c:f>
              <c:numCache>
                <c:formatCode>0.0%</c:formatCode>
                <c:ptCount val="2"/>
                <c:pt idx="0">
                  <c:v>0.623</c:v>
                </c:pt>
                <c:pt idx="1">
                  <c:v>0.377</c:v>
                </c:pt>
              </c:numCache>
            </c:numRef>
          </c:val>
        </c:ser>
        <c:ser>
          <c:idx val="8"/>
          <c:order val="8"/>
          <c:tx>
            <c:strRef>
              <c:f>Sheet1!$J$1</c:f>
              <c:strCache>
                <c:ptCount val="1"/>
                <c:pt idx="0">
                  <c:v>Oral Surgery</c:v>
                </c:pt>
              </c:strCache>
            </c:strRef>
          </c:tx>
          <c:invertIfNegative val="0"/>
          <c:cat>
            <c:strRef>
              <c:f>Sheet1!$A$2:$A$3</c:f>
              <c:strCache>
                <c:ptCount val="2"/>
                <c:pt idx="0">
                  <c:v>Female</c:v>
                </c:pt>
                <c:pt idx="1">
                  <c:v>Male</c:v>
                </c:pt>
              </c:strCache>
            </c:strRef>
          </c:cat>
          <c:val>
            <c:numRef>
              <c:f>Sheet1!$J$2:$J$3</c:f>
              <c:numCache>
                <c:formatCode>0.0%</c:formatCode>
                <c:ptCount val="2"/>
                <c:pt idx="0">
                  <c:v>0.56100000000000005</c:v>
                </c:pt>
                <c:pt idx="1">
                  <c:v>0.439</c:v>
                </c:pt>
              </c:numCache>
            </c:numRef>
          </c:val>
        </c:ser>
        <c:ser>
          <c:idx val="9"/>
          <c:order val="9"/>
          <c:tx>
            <c:strRef>
              <c:f>Sheet1!$K$1</c:f>
              <c:strCache>
                <c:ptCount val="1"/>
                <c:pt idx="0">
                  <c:v>Pediatrics</c:v>
                </c:pt>
              </c:strCache>
            </c:strRef>
          </c:tx>
          <c:invertIfNegative val="0"/>
          <c:cat>
            <c:strRef>
              <c:f>Sheet1!$A$2:$A$3</c:f>
              <c:strCache>
                <c:ptCount val="2"/>
                <c:pt idx="0">
                  <c:v>Female</c:v>
                </c:pt>
                <c:pt idx="1">
                  <c:v>Male</c:v>
                </c:pt>
              </c:strCache>
            </c:strRef>
          </c:cat>
          <c:val>
            <c:numRef>
              <c:f>Sheet1!$K$2:$K$3</c:f>
              <c:numCache>
                <c:formatCode>0.0%</c:formatCode>
                <c:ptCount val="2"/>
                <c:pt idx="0">
                  <c:v>0.75800000000000001</c:v>
                </c:pt>
                <c:pt idx="1">
                  <c:v>0.24199999999999999</c:v>
                </c:pt>
              </c:numCache>
            </c:numRef>
          </c:val>
        </c:ser>
        <c:ser>
          <c:idx val="10"/>
          <c:order val="10"/>
          <c:tx>
            <c:strRef>
              <c:f>Sheet1!$L$1</c:f>
              <c:strCache>
                <c:ptCount val="1"/>
                <c:pt idx="0">
                  <c:v>St. Pete</c:v>
                </c:pt>
              </c:strCache>
            </c:strRef>
          </c:tx>
          <c:invertIfNegative val="0"/>
          <c:cat>
            <c:strRef>
              <c:f>Sheet1!$A$2:$A$3</c:f>
              <c:strCache>
                <c:ptCount val="2"/>
                <c:pt idx="0">
                  <c:v>Female</c:v>
                </c:pt>
                <c:pt idx="1">
                  <c:v>Male</c:v>
                </c:pt>
              </c:strCache>
            </c:strRef>
          </c:cat>
          <c:val>
            <c:numRef>
              <c:f>Sheet1!$L$2:$L$3</c:f>
              <c:numCache>
                <c:formatCode>0.0%</c:formatCode>
                <c:ptCount val="2"/>
                <c:pt idx="0">
                  <c:v>0.35399999999999998</c:v>
                </c:pt>
                <c:pt idx="1">
                  <c:v>0.64600000000000002</c:v>
                </c:pt>
              </c:numCache>
            </c:numRef>
          </c:val>
        </c:ser>
        <c:dLbls>
          <c:showLegendKey val="0"/>
          <c:showVal val="0"/>
          <c:showCatName val="0"/>
          <c:showSerName val="0"/>
          <c:showPercent val="0"/>
          <c:showBubbleSize val="0"/>
        </c:dLbls>
        <c:gapWidth val="150"/>
        <c:axId val="177470464"/>
        <c:axId val="179798784"/>
      </c:barChart>
      <c:catAx>
        <c:axId val="177470464"/>
        <c:scaling>
          <c:orientation val="minMax"/>
        </c:scaling>
        <c:delete val="0"/>
        <c:axPos val="b"/>
        <c:majorTickMark val="out"/>
        <c:minorTickMark val="none"/>
        <c:tickLblPos val="nextTo"/>
        <c:crossAx val="179798784"/>
        <c:crosses val="autoZero"/>
        <c:auto val="1"/>
        <c:lblAlgn val="ctr"/>
        <c:lblOffset val="100"/>
        <c:noMultiLvlLbl val="0"/>
      </c:catAx>
      <c:valAx>
        <c:axId val="179798784"/>
        <c:scaling>
          <c:orientation val="minMax"/>
        </c:scaling>
        <c:delete val="0"/>
        <c:axPos val="l"/>
        <c:majorGridlines/>
        <c:numFmt formatCode="0.0%" sourceLinked="1"/>
        <c:majorTickMark val="out"/>
        <c:minorTickMark val="none"/>
        <c:tickLblPos val="nextTo"/>
        <c:crossAx val="177470464"/>
        <c:crosses val="autoZero"/>
        <c:crossBetween val="between"/>
      </c:valAx>
    </c:plotArea>
    <c:legend>
      <c:legendPos val="r"/>
      <c:layout>
        <c:manualLayout>
          <c:xMode val="edge"/>
          <c:yMode val="edge"/>
          <c:x val="0.83156052643063327"/>
          <c:y val="0.1364412574978999"/>
          <c:w val="0.16843947356936678"/>
          <c:h val="0.65810437467028782"/>
        </c:manualLayout>
      </c:layout>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Race/Ethnicity</a:t>
            </a:r>
          </a:p>
        </c:rich>
      </c:tx>
      <c:layout/>
      <c:overlay val="0"/>
    </c:title>
    <c:autoTitleDeleted val="0"/>
    <c:plotArea>
      <c:layout/>
      <c:barChart>
        <c:barDir val="col"/>
        <c:grouping val="clustered"/>
        <c:varyColors val="0"/>
        <c:ser>
          <c:idx val="0"/>
          <c:order val="0"/>
          <c:tx>
            <c:strRef>
              <c:f>Sheet1!$B$1</c:f>
              <c:strCache>
                <c:ptCount val="1"/>
                <c:pt idx="0">
                  <c:v>Student Clinics</c:v>
                </c:pt>
              </c:strCache>
            </c:strRef>
          </c:tx>
          <c:invertIfNegative val="0"/>
          <c:cat>
            <c:strRef>
              <c:f>Sheet1!$A$2:$A$6</c:f>
              <c:strCache>
                <c:ptCount val="5"/>
                <c:pt idx="0">
                  <c:v>White</c:v>
                </c:pt>
                <c:pt idx="1">
                  <c:v>African American</c:v>
                </c:pt>
                <c:pt idx="2">
                  <c:v>Hispanic</c:v>
                </c:pt>
                <c:pt idx="3">
                  <c:v>Asian</c:v>
                </c:pt>
                <c:pt idx="4">
                  <c:v>Other</c:v>
                </c:pt>
              </c:strCache>
            </c:strRef>
          </c:cat>
          <c:val>
            <c:numRef>
              <c:f>Sheet1!$B$2:$B$6</c:f>
              <c:numCache>
                <c:formatCode>0.0%</c:formatCode>
                <c:ptCount val="5"/>
                <c:pt idx="0">
                  <c:v>0.82399999999999995</c:v>
                </c:pt>
                <c:pt idx="1">
                  <c:v>0.128</c:v>
                </c:pt>
                <c:pt idx="2">
                  <c:v>7.4999999999999997E-2</c:v>
                </c:pt>
                <c:pt idx="3">
                  <c:v>1.6E-2</c:v>
                </c:pt>
                <c:pt idx="4">
                  <c:v>4.1000000000000002E-2</c:v>
                </c:pt>
              </c:numCache>
            </c:numRef>
          </c:val>
        </c:ser>
        <c:ser>
          <c:idx val="1"/>
          <c:order val="1"/>
          <c:tx>
            <c:strRef>
              <c:f>Sheet1!$C$1</c:f>
              <c:strCache>
                <c:ptCount val="1"/>
                <c:pt idx="0">
                  <c:v>Faculty Practice</c:v>
                </c:pt>
              </c:strCache>
            </c:strRef>
          </c:tx>
          <c:spPr>
            <a:solidFill>
              <a:schemeClr val="accent6"/>
            </a:solidFill>
            <a:ln>
              <a:solidFill>
                <a:schemeClr val="accent6"/>
              </a:solidFill>
            </a:ln>
          </c:spPr>
          <c:invertIfNegative val="0"/>
          <c:cat>
            <c:strRef>
              <c:f>Sheet1!$A$2:$A$6</c:f>
              <c:strCache>
                <c:ptCount val="5"/>
                <c:pt idx="0">
                  <c:v>White</c:v>
                </c:pt>
                <c:pt idx="1">
                  <c:v>African American</c:v>
                </c:pt>
                <c:pt idx="2">
                  <c:v>Hispanic</c:v>
                </c:pt>
                <c:pt idx="3">
                  <c:v>Asian</c:v>
                </c:pt>
                <c:pt idx="4">
                  <c:v>Other</c:v>
                </c:pt>
              </c:strCache>
            </c:strRef>
          </c:cat>
          <c:val>
            <c:numRef>
              <c:f>Sheet1!$C$2:$C$6</c:f>
              <c:numCache>
                <c:formatCode>0.0%</c:formatCode>
                <c:ptCount val="5"/>
                <c:pt idx="0">
                  <c:v>0.69599999999999995</c:v>
                </c:pt>
                <c:pt idx="1">
                  <c:v>8.6999999999999994E-2</c:v>
                </c:pt>
                <c:pt idx="2">
                  <c:v>0.13</c:v>
                </c:pt>
                <c:pt idx="3">
                  <c:v>0.13</c:v>
                </c:pt>
                <c:pt idx="4">
                  <c:v>4.2999999999999997E-2</c:v>
                </c:pt>
              </c:numCache>
            </c:numRef>
          </c:val>
        </c:ser>
        <c:ser>
          <c:idx val="2"/>
          <c:order val="2"/>
          <c:tx>
            <c:strRef>
              <c:f>Sheet1!$D$1</c:f>
              <c:strCache>
                <c:ptCount val="1"/>
                <c:pt idx="0">
                  <c:v>Graduate Endodontics</c:v>
                </c:pt>
              </c:strCache>
            </c:strRef>
          </c:tx>
          <c:invertIfNegative val="0"/>
          <c:cat>
            <c:strRef>
              <c:f>Sheet1!$A$2:$A$6</c:f>
              <c:strCache>
                <c:ptCount val="5"/>
                <c:pt idx="0">
                  <c:v>White</c:v>
                </c:pt>
                <c:pt idx="1">
                  <c:v>African American</c:v>
                </c:pt>
                <c:pt idx="2">
                  <c:v>Hispanic</c:v>
                </c:pt>
                <c:pt idx="3">
                  <c:v>Asian</c:v>
                </c:pt>
                <c:pt idx="4">
                  <c:v>Other</c:v>
                </c:pt>
              </c:strCache>
            </c:strRef>
          </c:cat>
          <c:val>
            <c:numRef>
              <c:f>Sheet1!$D$2:$D$6</c:f>
              <c:numCache>
                <c:formatCode>0.0%</c:formatCode>
                <c:ptCount val="5"/>
                <c:pt idx="0">
                  <c:v>0.67300000000000004</c:v>
                </c:pt>
                <c:pt idx="1">
                  <c:v>0.218</c:v>
                </c:pt>
                <c:pt idx="2">
                  <c:v>9.6000000000000002E-2</c:v>
                </c:pt>
                <c:pt idx="3">
                  <c:v>1.7999999999999999E-2</c:v>
                </c:pt>
                <c:pt idx="4">
                  <c:v>7.2999999999999995E-2</c:v>
                </c:pt>
              </c:numCache>
            </c:numRef>
          </c:val>
        </c:ser>
        <c:ser>
          <c:idx val="3"/>
          <c:order val="3"/>
          <c:tx>
            <c:strRef>
              <c:f>Sheet1!$E$1</c:f>
              <c:strCache>
                <c:ptCount val="1"/>
                <c:pt idx="0">
                  <c:v>Grad Periodontics</c:v>
                </c:pt>
              </c:strCache>
            </c:strRef>
          </c:tx>
          <c:spPr>
            <a:solidFill>
              <a:schemeClr val="tx2"/>
            </a:solidFill>
            <a:ln>
              <a:solidFill>
                <a:schemeClr val="tx2"/>
              </a:solidFill>
            </a:ln>
          </c:spPr>
          <c:invertIfNegative val="0"/>
          <c:cat>
            <c:strRef>
              <c:f>Sheet1!$A$2:$A$6</c:f>
              <c:strCache>
                <c:ptCount val="5"/>
                <c:pt idx="0">
                  <c:v>White</c:v>
                </c:pt>
                <c:pt idx="1">
                  <c:v>African American</c:v>
                </c:pt>
                <c:pt idx="2">
                  <c:v>Hispanic</c:v>
                </c:pt>
                <c:pt idx="3">
                  <c:v>Asian</c:v>
                </c:pt>
                <c:pt idx="4">
                  <c:v>Other</c:v>
                </c:pt>
              </c:strCache>
            </c:strRef>
          </c:cat>
          <c:val>
            <c:numRef>
              <c:f>Sheet1!$E$2:$E$6</c:f>
              <c:numCache>
                <c:formatCode>0.0%</c:formatCode>
                <c:ptCount val="5"/>
                <c:pt idx="0">
                  <c:v>0.82799999999999996</c:v>
                </c:pt>
                <c:pt idx="1">
                  <c:v>0.13800000000000001</c:v>
                </c:pt>
                <c:pt idx="2">
                  <c:v>7.6999999999999999E-2</c:v>
                </c:pt>
                <c:pt idx="3">
                  <c:v>0</c:v>
                </c:pt>
                <c:pt idx="4">
                  <c:v>3.4000000000000002E-2</c:v>
                </c:pt>
              </c:numCache>
            </c:numRef>
          </c:val>
        </c:ser>
        <c:ser>
          <c:idx val="4"/>
          <c:order val="4"/>
          <c:tx>
            <c:strRef>
              <c:f>Sheet1!$F$1</c:f>
              <c:strCache>
                <c:ptCount val="1"/>
                <c:pt idx="0">
                  <c:v>Grad Prosthodontics</c:v>
                </c:pt>
              </c:strCache>
            </c:strRef>
          </c:tx>
          <c:spPr>
            <a:solidFill>
              <a:schemeClr val="accent1">
                <a:lumMod val="20000"/>
                <a:lumOff val="80000"/>
              </a:schemeClr>
            </a:solidFill>
            <a:ln>
              <a:solidFill>
                <a:schemeClr val="accent1">
                  <a:lumMod val="20000"/>
                  <a:lumOff val="80000"/>
                </a:schemeClr>
              </a:solidFill>
            </a:ln>
          </c:spPr>
          <c:invertIfNegative val="0"/>
          <c:cat>
            <c:strRef>
              <c:f>Sheet1!$A$2:$A$6</c:f>
              <c:strCache>
                <c:ptCount val="5"/>
                <c:pt idx="0">
                  <c:v>White</c:v>
                </c:pt>
                <c:pt idx="1">
                  <c:v>African American</c:v>
                </c:pt>
                <c:pt idx="2">
                  <c:v>Hispanic</c:v>
                </c:pt>
                <c:pt idx="3">
                  <c:v>Asian</c:v>
                </c:pt>
                <c:pt idx="4">
                  <c:v>Other</c:v>
                </c:pt>
              </c:strCache>
            </c:strRef>
          </c:cat>
          <c:val>
            <c:numRef>
              <c:f>Sheet1!$F$2:$F$6</c:f>
              <c:numCache>
                <c:formatCode>0.0%</c:formatCode>
                <c:ptCount val="5"/>
                <c:pt idx="0">
                  <c:v>0.82099999999999995</c:v>
                </c:pt>
                <c:pt idx="1">
                  <c:v>0.10299999999999999</c:v>
                </c:pt>
                <c:pt idx="2">
                  <c:v>0.13900000000000001</c:v>
                </c:pt>
                <c:pt idx="3">
                  <c:v>2.5999999999999999E-2</c:v>
                </c:pt>
                <c:pt idx="4">
                  <c:v>5.0999999999999997E-2</c:v>
                </c:pt>
              </c:numCache>
            </c:numRef>
          </c:val>
        </c:ser>
        <c:ser>
          <c:idx val="5"/>
          <c:order val="5"/>
          <c:tx>
            <c:strRef>
              <c:f>Sheet1!$G$1</c:f>
              <c:strCache>
                <c:ptCount val="1"/>
                <c:pt idx="0">
                  <c:v>Hialeah</c:v>
                </c:pt>
              </c:strCache>
            </c:strRef>
          </c:tx>
          <c:spPr>
            <a:solidFill>
              <a:schemeClr val="accent6">
                <a:lumMod val="60000"/>
                <a:lumOff val="40000"/>
              </a:schemeClr>
            </a:solidFill>
            <a:ln>
              <a:solidFill>
                <a:schemeClr val="accent6">
                  <a:lumMod val="60000"/>
                  <a:lumOff val="40000"/>
                </a:schemeClr>
              </a:solidFill>
            </a:ln>
          </c:spPr>
          <c:invertIfNegative val="0"/>
          <c:cat>
            <c:strRef>
              <c:f>Sheet1!$A$2:$A$6</c:f>
              <c:strCache>
                <c:ptCount val="5"/>
                <c:pt idx="0">
                  <c:v>White</c:v>
                </c:pt>
                <c:pt idx="1">
                  <c:v>African American</c:v>
                </c:pt>
                <c:pt idx="2">
                  <c:v>Hispanic</c:v>
                </c:pt>
                <c:pt idx="3">
                  <c:v>Asian</c:v>
                </c:pt>
                <c:pt idx="4">
                  <c:v>Other</c:v>
                </c:pt>
              </c:strCache>
            </c:strRef>
          </c:cat>
          <c:val>
            <c:numRef>
              <c:f>Sheet1!$G$2:$G$6</c:f>
              <c:numCache>
                <c:formatCode>0.0%</c:formatCode>
                <c:ptCount val="5"/>
                <c:pt idx="0">
                  <c:v>0.67600000000000005</c:v>
                </c:pt>
                <c:pt idx="1">
                  <c:v>0.183</c:v>
                </c:pt>
                <c:pt idx="2">
                  <c:v>0.70299999999999996</c:v>
                </c:pt>
                <c:pt idx="3">
                  <c:v>4.2000000000000003E-2</c:v>
                </c:pt>
                <c:pt idx="4">
                  <c:v>0.127</c:v>
                </c:pt>
              </c:numCache>
            </c:numRef>
          </c:val>
        </c:ser>
        <c:ser>
          <c:idx val="6"/>
          <c:order val="6"/>
          <c:tx>
            <c:strRef>
              <c:f>Sheet1!$H$1</c:f>
              <c:strCache>
                <c:ptCount val="1"/>
                <c:pt idx="0">
                  <c:v>Oral Medicine</c:v>
                </c:pt>
              </c:strCache>
            </c:strRef>
          </c:tx>
          <c:spPr>
            <a:solidFill>
              <a:schemeClr val="accent3">
                <a:lumMod val="50000"/>
              </a:schemeClr>
            </a:solidFill>
            <a:ln>
              <a:solidFill>
                <a:schemeClr val="accent3">
                  <a:lumMod val="50000"/>
                </a:schemeClr>
              </a:solidFill>
            </a:ln>
          </c:spPr>
          <c:invertIfNegative val="0"/>
          <c:cat>
            <c:strRef>
              <c:f>Sheet1!$A$2:$A$6</c:f>
              <c:strCache>
                <c:ptCount val="5"/>
                <c:pt idx="0">
                  <c:v>White</c:v>
                </c:pt>
                <c:pt idx="1">
                  <c:v>African American</c:v>
                </c:pt>
                <c:pt idx="2">
                  <c:v>Hispanic</c:v>
                </c:pt>
                <c:pt idx="3">
                  <c:v>Asian</c:v>
                </c:pt>
                <c:pt idx="4">
                  <c:v>Other</c:v>
                </c:pt>
              </c:strCache>
            </c:strRef>
          </c:cat>
          <c:val>
            <c:numRef>
              <c:f>Sheet1!$H$2:$H$6</c:f>
              <c:numCache>
                <c:formatCode>0.0%</c:formatCode>
                <c:ptCount val="5"/>
                <c:pt idx="0">
                  <c:v>0.94399999999999995</c:v>
                </c:pt>
                <c:pt idx="1">
                  <c:v>0</c:v>
                </c:pt>
                <c:pt idx="2">
                  <c:v>6.7000000000000004E-2</c:v>
                </c:pt>
                <c:pt idx="3">
                  <c:v>0</c:v>
                </c:pt>
                <c:pt idx="4">
                  <c:v>5.6000000000000001E-2</c:v>
                </c:pt>
              </c:numCache>
            </c:numRef>
          </c:val>
        </c:ser>
        <c:ser>
          <c:idx val="7"/>
          <c:order val="7"/>
          <c:tx>
            <c:strRef>
              <c:f>Sheet1!$I$1</c:f>
              <c:strCache>
                <c:ptCount val="1"/>
                <c:pt idx="0">
                  <c:v>Orthodontics</c:v>
                </c:pt>
              </c:strCache>
            </c:strRef>
          </c:tx>
          <c:spPr>
            <a:solidFill>
              <a:srgbClr val="0070C0"/>
            </a:solidFill>
            <a:ln>
              <a:solidFill>
                <a:srgbClr val="0070C0"/>
              </a:solidFill>
            </a:ln>
          </c:spPr>
          <c:invertIfNegative val="0"/>
          <c:cat>
            <c:strRef>
              <c:f>Sheet1!$A$2:$A$6</c:f>
              <c:strCache>
                <c:ptCount val="5"/>
                <c:pt idx="0">
                  <c:v>White</c:v>
                </c:pt>
                <c:pt idx="1">
                  <c:v>African American</c:v>
                </c:pt>
                <c:pt idx="2">
                  <c:v>Hispanic</c:v>
                </c:pt>
                <c:pt idx="3">
                  <c:v>Asian</c:v>
                </c:pt>
                <c:pt idx="4">
                  <c:v>Other</c:v>
                </c:pt>
              </c:strCache>
            </c:strRef>
          </c:cat>
          <c:val>
            <c:numRef>
              <c:f>Sheet1!$I$2:$I$6</c:f>
              <c:numCache>
                <c:formatCode>0.0%</c:formatCode>
                <c:ptCount val="5"/>
                <c:pt idx="0">
                  <c:v>0.65300000000000002</c:v>
                </c:pt>
                <c:pt idx="1">
                  <c:v>0.20399999999999999</c:v>
                </c:pt>
                <c:pt idx="2">
                  <c:v>0.25</c:v>
                </c:pt>
                <c:pt idx="3">
                  <c:v>4.1000000000000002E-2</c:v>
                </c:pt>
                <c:pt idx="4">
                  <c:v>0.12</c:v>
                </c:pt>
              </c:numCache>
            </c:numRef>
          </c:val>
        </c:ser>
        <c:ser>
          <c:idx val="8"/>
          <c:order val="8"/>
          <c:tx>
            <c:strRef>
              <c:f>Sheet1!$J$1</c:f>
              <c:strCache>
                <c:ptCount val="1"/>
                <c:pt idx="0">
                  <c:v>Oral Surgery</c:v>
                </c:pt>
              </c:strCache>
            </c:strRef>
          </c:tx>
          <c:invertIfNegative val="0"/>
          <c:cat>
            <c:strRef>
              <c:f>Sheet1!$A$2:$A$6</c:f>
              <c:strCache>
                <c:ptCount val="5"/>
                <c:pt idx="0">
                  <c:v>White</c:v>
                </c:pt>
                <c:pt idx="1">
                  <c:v>African American</c:v>
                </c:pt>
                <c:pt idx="2">
                  <c:v>Hispanic</c:v>
                </c:pt>
                <c:pt idx="3">
                  <c:v>Asian</c:v>
                </c:pt>
                <c:pt idx="4">
                  <c:v>Other</c:v>
                </c:pt>
              </c:strCache>
            </c:strRef>
          </c:cat>
          <c:val>
            <c:numRef>
              <c:f>Sheet1!$J$2:$J$6</c:f>
              <c:numCache>
                <c:formatCode>0.0%</c:formatCode>
                <c:ptCount val="5"/>
                <c:pt idx="0">
                  <c:v>0.69099999999999995</c:v>
                </c:pt>
                <c:pt idx="1">
                  <c:v>0.16200000000000001</c:v>
                </c:pt>
                <c:pt idx="2">
                  <c:v>9.1999999999999998E-2</c:v>
                </c:pt>
                <c:pt idx="3">
                  <c:v>7.3999999999999996E-2</c:v>
                </c:pt>
                <c:pt idx="4">
                  <c:v>7.3999999999999996E-2</c:v>
                </c:pt>
              </c:numCache>
            </c:numRef>
          </c:val>
        </c:ser>
        <c:ser>
          <c:idx val="9"/>
          <c:order val="9"/>
          <c:tx>
            <c:strRef>
              <c:f>Sheet1!$K$1</c:f>
              <c:strCache>
                <c:ptCount val="1"/>
                <c:pt idx="0">
                  <c:v>Pediatrics</c:v>
                </c:pt>
              </c:strCache>
            </c:strRef>
          </c:tx>
          <c:invertIfNegative val="0"/>
          <c:cat>
            <c:strRef>
              <c:f>Sheet1!$A$2:$A$6</c:f>
              <c:strCache>
                <c:ptCount val="5"/>
                <c:pt idx="0">
                  <c:v>White</c:v>
                </c:pt>
                <c:pt idx="1">
                  <c:v>African American</c:v>
                </c:pt>
                <c:pt idx="2">
                  <c:v>Hispanic</c:v>
                </c:pt>
                <c:pt idx="3">
                  <c:v>Asian</c:v>
                </c:pt>
                <c:pt idx="4">
                  <c:v>Other</c:v>
                </c:pt>
              </c:strCache>
            </c:strRef>
          </c:cat>
          <c:val>
            <c:numRef>
              <c:f>Sheet1!$K$2:$K$6</c:f>
              <c:numCache>
                <c:formatCode>0.0%</c:formatCode>
                <c:ptCount val="5"/>
                <c:pt idx="0">
                  <c:v>0.5</c:v>
                </c:pt>
                <c:pt idx="1">
                  <c:v>0.38900000000000001</c:v>
                </c:pt>
                <c:pt idx="2">
                  <c:v>0.14299999999999999</c:v>
                </c:pt>
                <c:pt idx="3">
                  <c:v>0</c:v>
                </c:pt>
                <c:pt idx="4">
                  <c:v>0.111</c:v>
                </c:pt>
              </c:numCache>
            </c:numRef>
          </c:val>
        </c:ser>
        <c:ser>
          <c:idx val="10"/>
          <c:order val="10"/>
          <c:tx>
            <c:strRef>
              <c:f>Sheet1!$L$1</c:f>
              <c:strCache>
                <c:ptCount val="1"/>
                <c:pt idx="0">
                  <c:v>St. Pete</c:v>
                </c:pt>
              </c:strCache>
            </c:strRef>
          </c:tx>
          <c:invertIfNegative val="0"/>
          <c:cat>
            <c:strRef>
              <c:f>Sheet1!$A$2:$A$6</c:f>
              <c:strCache>
                <c:ptCount val="5"/>
                <c:pt idx="0">
                  <c:v>White</c:v>
                </c:pt>
                <c:pt idx="1">
                  <c:v>African American</c:v>
                </c:pt>
                <c:pt idx="2">
                  <c:v>Hispanic</c:v>
                </c:pt>
                <c:pt idx="3">
                  <c:v>Asian</c:v>
                </c:pt>
                <c:pt idx="4">
                  <c:v>Other</c:v>
                </c:pt>
              </c:strCache>
            </c:strRef>
          </c:cat>
          <c:val>
            <c:numRef>
              <c:f>Sheet1!$L$2:$L$6</c:f>
              <c:numCache>
                <c:formatCode>0.0%</c:formatCode>
                <c:ptCount val="5"/>
                <c:pt idx="0">
                  <c:v>0.878</c:v>
                </c:pt>
                <c:pt idx="1">
                  <c:v>4.1000000000000002E-2</c:v>
                </c:pt>
                <c:pt idx="2">
                  <c:v>6.5000000000000002E-2</c:v>
                </c:pt>
                <c:pt idx="3">
                  <c:v>0.02</c:v>
                </c:pt>
                <c:pt idx="4">
                  <c:v>8.1000000000000003E-2</c:v>
                </c:pt>
              </c:numCache>
            </c:numRef>
          </c:val>
        </c:ser>
        <c:dLbls>
          <c:showLegendKey val="0"/>
          <c:showVal val="0"/>
          <c:showCatName val="0"/>
          <c:showSerName val="0"/>
          <c:showPercent val="0"/>
          <c:showBubbleSize val="0"/>
        </c:dLbls>
        <c:gapWidth val="150"/>
        <c:axId val="210481536"/>
        <c:axId val="210483072"/>
      </c:barChart>
      <c:catAx>
        <c:axId val="210481536"/>
        <c:scaling>
          <c:orientation val="minMax"/>
        </c:scaling>
        <c:delete val="0"/>
        <c:axPos val="b"/>
        <c:majorTickMark val="out"/>
        <c:minorTickMark val="none"/>
        <c:tickLblPos val="nextTo"/>
        <c:crossAx val="210483072"/>
        <c:crosses val="autoZero"/>
        <c:auto val="1"/>
        <c:lblAlgn val="ctr"/>
        <c:lblOffset val="100"/>
        <c:noMultiLvlLbl val="0"/>
      </c:catAx>
      <c:valAx>
        <c:axId val="210483072"/>
        <c:scaling>
          <c:orientation val="minMax"/>
        </c:scaling>
        <c:delete val="0"/>
        <c:axPos val="l"/>
        <c:majorGridlines/>
        <c:numFmt formatCode="0.0%" sourceLinked="1"/>
        <c:majorTickMark val="out"/>
        <c:minorTickMark val="none"/>
        <c:tickLblPos val="nextTo"/>
        <c:crossAx val="210481536"/>
        <c:crosses val="autoZero"/>
        <c:crossBetween val="between"/>
      </c:valAx>
    </c:plotArea>
    <c:legend>
      <c:legendPos val="r"/>
      <c:layout>
        <c:manualLayout>
          <c:xMode val="edge"/>
          <c:yMode val="edge"/>
          <c:x val="0.83314583912305173"/>
          <c:y val="0.14508133712837362"/>
          <c:w val="0.16685416087694921"/>
          <c:h val="0.69977853032223214"/>
        </c:manualLayout>
      </c:layout>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Average</a:t>
            </a:r>
            <a:r>
              <a:rPr lang="en-US" baseline="0"/>
              <a:t> </a:t>
            </a:r>
            <a:r>
              <a:rPr lang="en-US"/>
              <a:t>Household Size</a:t>
            </a:r>
          </a:p>
        </c:rich>
      </c:tx>
      <c:layout/>
      <c:overlay val="0"/>
    </c:title>
    <c:autoTitleDeleted val="0"/>
    <c:plotArea>
      <c:layout/>
      <c:lineChart>
        <c:grouping val="standard"/>
        <c:varyColors val="0"/>
        <c:ser>
          <c:idx val="0"/>
          <c:order val="0"/>
          <c:tx>
            <c:strRef>
              <c:f>Sheet1!$B$1</c:f>
              <c:strCache>
                <c:ptCount val="1"/>
                <c:pt idx="0">
                  <c:v>HH Size</c:v>
                </c:pt>
              </c:strCache>
            </c:strRef>
          </c:tx>
          <c:marker>
            <c:symbol val="none"/>
          </c:marker>
          <c:dLbls>
            <c:dLbl>
              <c:idx val="0"/>
              <c:layout>
                <c:manualLayout>
                  <c:x val="-3.6548299109670113E-2"/>
                  <c:y val="9.5861094286291137E-3"/>
                </c:manualLayout>
              </c:layout>
              <c:dLblPos val="r"/>
              <c:showLegendKey val="0"/>
              <c:showVal val="1"/>
              <c:showCatName val="0"/>
              <c:showSerName val="0"/>
              <c:showPercent val="0"/>
              <c:showBubbleSize val="0"/>
            </c:dLbl>
            <c:dLbl>
              <c:idx val="3"/>
              <c:layout>
                <c:manualLayout>
                  <c:x val="-3.3280325253460967E-2"/>
                  <c:y val="1.6203408817074043E-2"/>
                </c:manualLayout>
              </c:layout>
              <c:dLblPos val="r"/>
              <c:showLegendKey val="0"/>
              <c:showVal val="1"/>
              <c:showCatName val="0"/>
              <c:showSerName val="0"/>
              <c:showPercent val="0"/>
              <c:showBubbleSize val="0"/>
            </c:dLbl>
            <c:dLbl>
              <c:idx val="4"/>
              <c:layout>
                <c:manualLayout>
                  <c:x val="-2.6744377541042665E-2"/>
                  <c:y val="2.9437486567280825E-2"/>
                </c:manualLayout>
              </c:layout>
              <c:dLblPos val="r"/>
              <c:showLegendKey val="0"/>
              <c:showVal val="1"/>
              <c:showCatName val="0"/>
              <c:showSerName val="0"/>
              <c:showPercent val="0"/>
              <c:showBubbleSize val="0"/>
            </c:dLbl>
            <c:dLbl>
              <c:idx val="6"/>
              <c:layout>
                <c:manualLayout>
                  <c:x val="-2.8378364469147238E-2"/>
                  <c:y val="3.2746006004832524E-2"/>
                </c:manualLayout>
              </c:layout>
              <c:dLblPos val="r"/>
              <c:showLegendKey val="0"/>
              <c:showVal val="1"/>
              <c:showCatName val="0"/>
              <c:showSerName val="0"/>
              <c:showPercent val="0"/>
              <c:showBubbleSize val="0"/>
            </c:dLbl>
            <c:dLbl>
              <c:idx val="7"/>
              <c:layout>
                <c:manualLayout>
                  <c:x val="-2.8378364469147238E-2"/>
                  <c:y val="-2.6807343871098E-2"/>
                </c:manualLayout>
              </c:layout>
              <c:dLblPos val="r"/>
              <c:showLegendKey val="0"/>
              <c:showVal val="1"/>
              <c:showCatName val="0"/>
              <c:showSerName val="0"/>
              <c:showPercent val="0"/>
              <c:showBubbleSize val="0"/>
            </c:dLbl>
            <c:dLbl>
              <c:idx val="8"/>
              <c:layout>
                <c:manualLayout>
                  <c:x val="-2.3476403684833513E-2"/>
                  <c:y val="3.2746006004832524E-2"/>
                </c:manualLayout>
              </c:layout>
              <c:dLblPos val="r"/>
              <c:showLegendKey val="0"/>
              <c:showVal val="1"/>
              <c:showCatName val="0"/>
              <c:showSerName val="0"/>
              <c:showPercent val="0"/>
              <c:showBubbleSize val="0"/>
            </c:dLbl>
            <c:dLbl>
              <c:idx val="9"/>
              <c:layout>
                <c:manualLayout>
                  <c:x val="-2.6744377541042665E-2"/>
                  <c:y val="-3.6732902183753087E-2"/>
                </c:manualLayout>
              </c:layout>
              <c:dLblPos val="r"/>
              <c:showLegendKey val="0"/>
              <c:showVal val="1"/>
              <c:showCatName val="0"/>
              <c:showSerName val="0"/>
              <c:showPercent val="0"/>
              <c:showBubbleSize val="0"/>
            </c:dLbl>
            <c:dLbl>
              <c:idx val="10"/>
              <c:layout>
                <c:manualLayout>
                  <c:x val="-1.0404508259996913E-2"/>
                  <c:y val="1.6203408817073984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Sheet1!$A$2:$A$12</c:f>
              <c:strCache>
                <c:ptCount val="11"/>
                <c:pt idx="0">
                  <c:v>Student
Clinics</c:v>
                </c:pt>
                <c:pt idx="1">
                  <c:v>FP</c:v>
                </c:pt>
                <c:pt idx="2">
                  <c:v>GE</c:v>
                </c:pt>
                <c:pt idx="3">
                  <c:v>GPE</c:v>
                </c:pt>
                <c:pt idx="4">
                  <c:v>GPR</c:v>
                </c:pt>
                <c:pt idx="5">
                  <c:v>Hialeah</c:v>
                </c:pt>
                <c:pt idx="6">
                  <c:v>OM</c:v>
                </c:pt>
                <c:pt idx="7">
                  <c:v>OR</c:v>
                </c:pt>
                <c:pt idx="8">
                  <c:v>OS</c:v>
                </c:pt>
                <c:pt idx="9">
                  <c:v>PD</c:v>
                </c:pt>
                <c:pt idx="10">
                  <c:v>SP</c:v>
                </c:pt>
              </c:strCache>
            </c:strRef>
          </c:cat>
          <c:val>
            <c:numRef>
              <c:f>Sheet1!$B$2:$B$12</c:f>
              <c:numCache>
                <c:formatCode>0.00</c:formatCode>
                <c:ptCount val="11"/>
                <c:pt idx="0">
                  <c:v>2.2999999999999998</c:v>
                </c:pt>
                <c:pt idx="1">
                  <c:v>3.24</c:v>
                </c:pt>
                <c:pt idx="2">
                  <c:v>3.02</c:v>
                </c:pt>
                <c:pt idx="3">
                  <c:v>2.17</c:v>
                </c:pt>
                <c:pt idx="4">
                  <c:v>2.0499999999999998</c:v>
                </c:pt>
                <c:pt idx="5">
                  <c:v>3.15</c:v>
                </c:pt>
                <c:pt idx="6">
                  <c:v>2.11</c:v>
                </c:pt>
                <c:pt idx="7">
                  <c:v>4.2300000000000004</c:v>
                </c:pt>
                <c:pt idx="8">
                  <c:v>2.6</c:v>
                </c:pt>
                <c:pt idx="9">
                  <c:v>4.3899999999999997</c:v>
                </c:pt>
                <c:pt idx="10">
                  <c:v>2.33</c:v>
                </c:pt>
              </c:numCache>
            </c:numRef>
          </c:val>
          <c:smooth val="0"/>
        </c:ser>
        <c:dLbls>
          <c:showLegendKey val="0"/>
          <c:showVal val="1"/>
          <c:showCatName val="0"/>
          <c:showSerName val="0"/>
          <c:showPercent val="0"/>
          <c:showBubbleSize val="0"/>
        </c:dLbls>
        <c:marker val="1"/>
        <c:smooth val="0"/>
        <c:axId val="213866368"/>
        <c:axId val="213864832"/>
      </c:lineChart>
      <c:catAx>
        <c:axId val="213866368"/>
        <c:scaling>
          <c:orientation val="minMax"/>
        </c:scaling>
        <c:delete val="0"/>
        <c:axPos val="b"/>
        <c:majorTickMark val="out"/>
        <c:minorTickMark val="none"/>
        <c:tickLblPos val="nextTo"/>
        <c:crossAx val="213864832"/>
        <c:crosses val="autoZero"/>
        <c:auto val="1"/>
        <c:lblAlgn val="ctr"/>
        <c:lblOffset val="100"/>
        <c:noMultiLvlLbl val="0"/>
      </c:catAx>
      <c:valAx>
        <c:axId val="213864832"/>
        <c:scaling>
          <c:orientation val="minMax"/>
        </c:scaling>
        <c:delete val="0"/>
        <c:axPos val="l"/>
        <c:majorGridlines/>
        <c:numFmt formatCode="0.00" sourceLinked="1"/>
        <c:majorTickMark val="out"/>
        <c:minorTickMark val="none"/>
        <c:tickLblPos val="nextTo"/>
        <c:crossAx val="213866368"/>
        <c:crosses val="autoZero"/>
        <c:crossBetween val="between"/>
      </c:valAx>
    </c:plotArea>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Average</a:t>
            </a:r>
            <a:r>
              <a:rPr lang="en-US" baseline="0"/>
              <a:t> </a:t>
            </a:r>
            <a:r>
              <a:rPr lang="en-US"/>
              <a:t>Number of Patients in Household</a:t>
            </a:r>
          </a:p>
        </c:rich>
      </c:tx>
      <c:layout/>
      <c:overlay val="0"/>
    </c:title>
    <c:autoTitleDeleted val="0"/>
    <c:plotArea>
      <c:layout/>
      <c:lineChart>
        <c:grouping val="standard"/>
        <c:varyColors val="0"/>
        <c:ser>
          <c:idx val="0"/>
          <c:order val="0"/>
          <c:tx>
            <c:strRef>
              <c:f>Sheet1!$B$1</c:f>
              <c:strCache>
                <c:ptCount val="1"/>
                <c:pt idx="0">
                  <c:v>Patients</c:v>
                </c:pt>
              </c:strCache>
            </c:strRef>
          </c:tx>
          <c:marker>
            <c:symbol val="none"/>
          </c:marker>
          <c:dLbls>
            <c:dLbl>
              <c:idx val="0"/>
              <c:layout>
                <c:manualLayout>
                  <c:x val="-3.4914312181565536E-2"/>
                  <c:y val="1.6203408817074043E-2"/>
                </c:manualLayout>
              </c:layout>
              <c:dLblPos val="r"/>
              <c:showLegendKey val="0"/>
              <c:showVal val="1"/>
              <c:showCatName val="0"/>
              <c:showSerName val="0"/>
              <c:showPercent val="0"/>
              <c:showBubbleSize val="0"/>
            </c:dLbl>
            <c:dLbl>
              <c:idx val="2"/>
              <c:layout>
                <c:manualLayout>
                  <c:x val="-2.5110390612938089E-2"/>
                  <c:y val="2.612896712972913E-2"/>
                </c:manualLayout>
              </c:layout>
              <c:dLblPos val="r"/>
              <c:showLegendKey val="0"/>
              <c:showVal val="1"/>
              <c:showCatName val="0"/>
              <c:showSerName val="0"/>
              <c:showPercent val="0"/>
              <c:showBubbleSize val="0"/>
            </c:dLbl>
            <c:dLbl>
              <c:idx val="4"/>
              <c:layout>
                <c:manualLayout>
                  <c:x val="-2.8378364469147238E-2"/>
                  <c:y val="3.6054525442384217E-2"/>
                </c:manualLayout>
              </c:layout>
              <c:dLblPos val="r"/>
              <c:showLegendKey val="0"/>
              <c:showVal val="1"/>
              <c:showCatName val="0"/>
              <c:showSerName val="0"/>
              <c:showPercent val="0"/>
              <c:showBubbleSize val="0"/>
            </c:dLbl>
            <c:dLbl>
              <c:idx val="6"/>
              <c:layout>
                <c:manualLayout>
                  <c:x val="-2.8378364469147238E-2"/>
                  <c:y val="2.9437486567280825E-2"/>
                </c:manualLayout>
              </c:layout>
              <c:dLblPos val="r"/>
              <c:showLegendKey val="0"/>
              <c:showVal val="1"/>
              <c:showCatName val="0"/>
              <c:showSerName val="0"/>
              <c:showPercent val="0"/>
              <c:showBubbleSize val="0"/>
            </c:dLbl>
            <c:dLbl>
              <c:idx val="8"/>
              <c:layout>
                <c:manualLayout>
                  <c:x val="-8.7705213318923364E-3"/>
                  <c:y val="1.2894889379522349E-2"/>
                </c:manualLayout>
              </c:layout>
              <c:dLblPos val="r"/>
              <c:showLegendKey val="0"/>
              <c:showVal val="1"/>
              <c:showCatName val="0"/>
              <c:showSerName val="0"/>
              <c:showPercent val="0"/>
              <c:showBubbleSize val="0"/>
            </c:dLbl>
            <c:dLbl>
              <c:idx val="10"/>
              <c:layout>
                <c:manualLayout>
                  <c:x val="-1.2038495188101487E-2"/>
                  <c:y val="1.9511928254625738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Sheet1!$A$2:$A$12</c:f>
              <c:strCache>
                <c:ptCount val="11"/>
                <c:pt idx="0">
                  <c:v>Student
Clinics</c:v>
                </c:pt>
                <c:pt idx="1">
                  <c:v>FP</c:v>
                </c:pt>
                <c:pt idx="2">
                  <c:v>GE</c:v>
                </c:pt>
                <c:pt idx="3">
                  <c:v>GPE</c:v>
                </c:pt>
                <c:pt idx="4">
                  <c:v>GPR</c:v>
                </c:pt>
                <c:pt idx="5">
                  <c:v>Hialeah</c:v>
                </c:pt>
                <c:pt idx="6">
                  <c:v>OM</c:v>
                </c:pt>
                <c:pt idx="7">
                  <c:v>OR</c:v>
                </c:pt>
                <c:pt idx="8">
                  <c:v>OS</c:v>
                </c:pt>
                <c:pt idx="9">
                  <c:v>PD</c:v>
                </c:pt>
                <c:pt idx="10">
                  <c:v>SP</c:v>
                </c:pt>
              </c:strCache>
            </c:strRef>
          </c:cat>
          <c:val>
            <c:numRef>
              <c:f>Sheet1!$B$2:$B$12</c:f>
              <c:numCache>
                <c:formatCode>0.00</c:formatCode>
                <c:ptCount val="11"/>
                <c:pt idx="0">
                  <c:v>1.39</c:v>
                </c:pt>
                <c:pt idx="1">
                  <c:v>1.63</c:v>
                </c:pt>
                <c:pt idx="2">
                  <c:v>1.32</c:v>
                </c:pt>
                <c:pt idx="3">
                  <c:v>1.43</c:v>
                </c:pt>
                <c:pt idx="4">
                  <c:v>1.38</c:v>
                </c:pt>
                <c:pt idx="5">
                  <c:v>1.66</c:v>
                </c:pt>
                <c:pt idx="6">
                  <c:v>1</c:v>
                </c:pt>
                <c:pt idx="7">
                  <c:v>1.51</c:v>
                </c:pt>
                <c:pt idx="8">
                  <c:v>1.22</c:v>
                </c:pt>
                <c:pt idx="9">
                  <c:v>2.56</c:v>
                </c:pt>
                <c:pt idx="10">
                  <c:v>1.22</c:v>
                </c:pt>
              </c:numCache>
            </c:numRef>
          </c:val>
          <c:smooth val="0"/>
        </c:ser>
        <c:dLbls>
          <c:showLegendKey val="0"/>
          <c:showVal val="1"/>
          <c:showCatName val="0"/>
          <c:showSerName val="0"/>
          <c:showPercent val="0"/>
          <c:showBubbleSize val="0"/>
        </c:dLbls>
        <c:marker val="1"/>
        <c:smooth val="0"/>
        <c:axId val="75668096"/>
        <c:axId val="75675136"/>
      </c:lineChart>
      <c:catAx>
        <c:axId val="75668096"/>
        <c:scaling>
          <c:orientation val="minMax"/>
        </c:scaling>
        <c:delete val="0"/>
        <c:axPos val="b"/>
        <c:majorTickMark val="out"/>
        <c:minorTickMark val="none"/>
        <c:tickLblPos val="nextTo"/>
        <c:crossAx val="75675136"/>
        <c:crosses val="autoZero"/>
        <c:auto val="1"/>
        <c:lblAlgn val="ctr"/>
        <c:lblOffset val="100"/>
        <c:noMultiLvlLbl val="0"/>
      </c:catAx>
      <c:valAx>
        <c:axId val="75675136"/>
        <c:scaling>
          <c:orientation val="minMax"/>
        </c:scaling>
        <c:delete val="0"/>
        <c:axPos val="l"/>
        <c:majorGridlines/>
        <c:numFmt formatCode="0.00" sourceLinked="1"/>
        <c:majorTickMark val="out"/>
        <c:minorTickMark val="none"/>
        <c:tickLblPos val="nextTo"/>
        <c:crossAx val="75668096"/>
        <c:crosses val="autoZero"/>
        <c:crossBetween val="between"/>
      </c:valAx>
    </c:plotArea>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Household Income</a:t>
            </a:r>
          </a:p>
        </c:rich>
      </c:tx>
      <c:layout/>
      <c:overlay val="0"/>
    </c:title>
    <c:autoTitleDeleted val="0"/>
    <c:plotArea>
      <c:layout/>
      <c:barChart>
        <c:barDir val="col"/>
        <c:grouping val="clustered"/>
        <c:varyColors val="0"/>
        <c:ser>
          <c:idx val="0"/>
          <c:order val="0"/>
          <c:tx>
            <c:strRef>
              <c:f>Sheet1!$B$1</c:f>
              <c:strCache>
                <c:ptCount val="1"/>
                <c:pt idx="0">
                  <c:v>Student Clinics</c:v>
                </c:pt>
              </c:strCache>
            </c:strRef>
          </c:tx>
          <c:invertIfNegative val="0"/>
          <c:cat>
            <c:strRef>
              <c:f>Sheet1!$A$2:$A$7</c:f>
              <c:strCache>
                <c:ptCount val="6"/>
                <c:pt idx="0">
                  <c:v>Less than $10,000</c:v>
                </c:pt>
                <c:pt idx="1">
                  <c:v>$10,000 to $15,000</c:v>
                </c:pt>
                <c:pt idx="2">
                  <c:v>$15,000 to $30,000</c:v>
                </c:pt>
                <c:pt idx="3">
                  <c:v>$30,000 to $50,000</c:v>
                </c:pt>
                <c:pt idx="4">
                  <c:v>$50,000 to $70,000</c:v>
                </c:pt>
                <c:pt idx="5">
                  <c:v>More than $70,000</c:v>
                </c:pt>
              </c:strCache>
            </c:strRef>
          </c:cat>
          <c:val>
            <c:numRef>
              <c:f>Sheet1!$B$2:$B$7</c:f>
              <c:numCache>
                <c:formatCode>0.0%</c:formatCode>
                <c:ptCount val="6"/>
                <c:pt idx="0">
                  <c:v>0.14399999999999999</c:v>
                </c:pt>
                <c:pt idx="1">
                  <c:v>0.14799999999999999</c:v>
                </c:pt>
                <c:pt idx="2">
                  <c:v>0.27</c:v>
                </c:pt>
                <c:pt idx="3">
                  <c:v>0.23</c:v>
                </c:pt>
                <c:pt idx="4">
                  <c:v>0.13200000000000001</c:v>
                </c:pt>
                <c:pt idx="5">
                  <c:v>7.6999999999999999E-2</c:v>
                </c:pt>
              </c:numCache>
            </c:numRef>
          </c:val>
        </c:ser>
        <c:ser>
          <c:idx val="1"/>
          <c:order val="1"/>
          <c:tx>
            <c:strRef>
              <c:f>Sheet1!$C$1</c:f>
              <c:strCache>
                <c:ptCount val="1"/>
                <c:pt idx="0">
                  <c:v>Faculty Practice</c:v>
                </c:pt>
              </c:strCache>
            </c:strRef>
          </c:tx>
          <c:spPr>
            <a:solidFill>
              <a:schemeClr val="accent6"/>
            </a:solidFill>
            <a:ln>
              <a:solidFill>
                <a:schemeClr val="accent6"/>
              </a:solidFill>
            </a:ln>
          </c:spPr>
          <c:invertIfNegative val="0"/>
          <c:cat>
            <c:strRef>
              <c:f>Sheet1!$A$2:$A$7</c:f>
              <c:strCache>
                <c:ptCount val="6"/>
                <c:pt idx="0">
                  <c:v>Less than $10,000</c:v>
                </c:pt>
                <c:pt idx="1">
                  <c:v>$10,000 to $15,000</c:v>
                </c:pt>
                <c:pt idx="2">
                  <c:v>$15,000 to $30,000</c:v>
                </c:pt>
                <c:pt idx="3">
                  <c:v>$30,000 to $50,000</c:v>
                </c:pt>
                <c:pt idx="4">
                  <c:v>$50,000 to $70,000</c:v>
                </c:pt>
                <c:pt idx="5">
                  <c:v>More than $70,000</c:v>
                </c:pt>
              </c:strCache>
            </c:strRef>
          </c:cat>
          <c:val>
            <c:numRef>
              <c:f>Sheet1!$C$2:$C$7</c:f>
              <c:numCache>
                <c:formatCode>0.0%</c:formatCode>
                <c:ptCount val="6"/>
                <c:pt idx="0">
                  <c:v>4.4999999999999998E-2</c:v>
                </c:pt>
                <c:pt idx="1">
                  <c:v>0</c:v>
                </c:pt>
                <c:pt idx="2">
                  <c:v>0.182</c:v>
                </c:pt>
                <c:pt idx="3">
                  <c:v>9.0999999999999998E-2</c:v>
                </c:pt>
                <c:pt idx="4">
                  <c:v>0.318</c:v>
                </c:pt>
                <c:pt idx="5">
                  <c:v>0.36399999999999999</c:v>
                </c:pt>
              </c:numCache>
            </c:numRef>
          </c:val>
        </c:ser>
        <c:ser>
          <c:idx val="2"/>
          <c:order val="2"/>
          <c:tx>
            <c:strRef>
              <c:f>Sheet1!$D$1</c:f>
              <c:strCache>
                <c:ptCount val="1"/>
                <c:pt idx="0">
                  <c:v>Graduate Endodontics</c:v>
                </c:pt>
              </c:strCache>
            </c:strRef>
          </c:tx>
          <c:invertIfNegative val="0"/>
          <c:cat>
            <c:strRef>
              <c:f>Sheet1!$A$2:$A$7</c:f>
              <c:strCache>
                <c:ptCount val="6"/>
                <c:pt idx="0">
                  <c:v>Less than $10,000</c:v>
                </c:pt>
                <c:pt idx="1">
                  <c:v>$10,000 to $15,000</c:v>
                </c:pt>
                <c:pt idx="2">
                  <c:v>$15,000 to $30,000</c:v>
                </c:pt>
                <c:pt idx="3">
                  <c:v>$30,000 to $50,000</c:v>
                </c:pt>
                <c:pt idx="4">
                  <c:v>$50,000 to $70,000</c:v>
                </c:pt>
                <c:pt idx="5">
                  <c:v>More than $70,000</c:v>
                </c:pt>
              </c:strCache>
            </c:strRef>
          </c:cat>
          <c:val>
            <c:numRef>
              <c:f>Sheet1!$D$2:$D$7</c:f>
              <c:numCache>
                <c:formatCode>0.0%</c:formatCode>
                <c:ptCount val="6"/>
                <c:pt idx="0">
                  <c:v>0.192</c:v>
                </c:pt>
                <c:pt idx="1">
                  <c:v>0.192</c:v>
                </c:pt>
                <c:pt idx="2">
                  <c:v>0.25</c:v>
                </c:pt>
                <c:pt idx="3">
                  <c:v>0.192</c:v>
                </c:pt>
                <c:pt idx="4">
                  <c:v>0.115</c:v>
                </c:pt>
                <c:pt idx="5">
                  <c:v>5.8000000000000003E-2</c:v>
                </c:pt>
              </c:numCache>
            </c:numRef>
          </c:val>
        </c:ser>
        <c:ser>
          <c:idx val="3"/>
          <c:order val="3"/>
          <c:tx>
            <c:strRef>
              <c:f>Sheet1!$E$1</c:f>
              <c:strCache>
                <c:ptCount val="1"/>
                <c:pt idx="0">
                  <c:v>Grad Periodontics</c:v>
                </c:pt>
              </c:strCache>
            </c:strRef>
          </c:tx>
          <c:spPr>
            <a:solidFill>
              <a:schemeClr val="tx2"/>
            </a:solidFill>
            <a:ln>
              <a:solidFill>
                <a:schemeClr val="tx2"/>
              </a:solidFill>
            </a:ln>
          </c:spPr>
          <c:invertIfNegative val="0"/>
          <c:cat>
            <c:strRef>
              <c:f>Sheet1!$A$2:$A$7</c:f>
              <c:strCache>
                <c:ptCount val="6"/>
                <c:pt idx="0">
                  <c:v>Less than $10,000</c:v>
                </c:pt>
                <c:pt idx="1">
                  <c:v>$10,000 to $15,000</c:v>
                </c:pt>
                <c:pt idx="2">
                  <c:v>$15,000 to $30,000</c:v>
                </c:pt>
                <c:pt idx="3">
                  <c:v>$30,000 to $50,000</c:v>
                </c:pt>
                <c:pt idx="4">
                  <c:v>$50,000 to $70,000</c:v>
                </c:pt>
                <c:pt idx="5">
                  <c:v>More than $70,000</c:v>
                </c:pt>
              </c:strCache>
            </c:strRef>
          </c:cat>
          <c:val>
            <c:numRef>
              <c:f>Sheet1!$E$2:$E$7</c:f>
              <c:numCache>
                <c:formatCode>0.0%</c:formatCode>
                <c:ptCount val="6"/>
                <c:pt idx="0">
                  <c:v>0.08</c:v>
                </c:pt>
                <c:pt idx="1">
                  <c:v>0.08</c:v>
                </c:pt>
                <c:pt idx="2">
                  <c:v>0.32</c:v>
                </c:pt>
                <c:pt idx="3">
                  <c:v>0.36</c:v>
                </c:pt>
                <c:pt idx="4">
                  <c:v>0.16</c:v>
                </c:pt>
                <c:pt idx="5">
                  <c:v>0</c:v>
                </c:pt>
              </c:numCache>
            </c:numRef>
          </c:val>
        </c:ser>
        <c:ser>
          <c:idx val="4"/>
          <c:order val="4"/>
          <c:tx>
            <c:strRef>
              <c:f>Sheet1!$F$1</c:f>
              <c:strCache>
                <c:ptCount val="1"/>
                <c:pt idx="0">
                  <c:v>Grad Prosthodontics</c:v>
                </c:pt>
              </c:strCache>
            </c:strRef>
          </c:tx>
          <c:spPr>
            <a:solidFill>
              <a:schemeClr val="accent1">
                <a:lumMod val="20000"/>
                <a:lumOff val="80000"/>
              </a:schemeClr>
            </a:solidFill>
            <a:ln>
              <a:solidFill>
                <a:schemeClr val="accent1">
                  <a:lumMod val="20000"/>
                  <a:lumOff val="80000"/>
                </a:schemeClr>
              </a:solidFill>
            </a:ln>
          </c:spPr>
          <c:invertIfNegative val="0"/>
          <c:cat>
            <c:strRef>
              <c:f>Sheet1!$A$2:$A$7</c:f>
              <c:strCache>
                <c:ptCount val="6"/>
                <c:pt idx="0">
                  <c:v>Less than $10,000</c:v>
                </c:pt>
                <c:pt idx="1">
                  <c:v>$10,000 to $15,000</c:v>
                </c:pt>
                <c:pt idx="2">
                  <c:v>$15,000 to $30,000</c:v>
                </c:pt>
                <c:pt idx="3">
                  <c:v>$30,000 to $50,000</c:v>
                </c:pt>
                <c:pt idx="4">
                  <c:v>$50,000 to $70,000</c:v>
                </c:pt>
                <c:pt idx="5">
                  <c:v>More than $70,000</c:v>
                </c:pt>
              </c:strCache>
            </c:strRef>
          </c:cat>
          <c:val>
            <c:numRef>
              <c:f>Sheet1!$F$2:$F$7</c:f>
              <c:numCache>
                <c:formatCode>0.0%</c:formatCode>
                <c:ptCount val="6"/>
                <c:pt idx="0">
                  <c:v>0.161</c:v>
                </c:pt>
                <c:pt idx="1">
                  <c:v>0.129</c:v>
                </c:pt>
                <c:pt idx="2">
                  <c:v>0.19400000000000001</c:v>
                </c:pt>
                <c:pt idx="3">
                  <c:v>0.22600000000000001</c:v>
                </c:pt>
                <c:pt idx="4">
                  <c:v>9.7000000000000003E-2</c:v>
                </c:pt>
                <c:pt idx="5">
                  <c:v>0.19400000000000001</c:v>
                </c:pt>
              </c:numCache>
            </c:numRef>
          </c:val>
        </c:ser>
        <c:ser>
          <c:idx val="5"/>
          <c:order val="5"/>
          <c:tx>
            <c:strRef>
              <c:f>Sheet1!$G$1</c:f>
              <c:strCache>
                <c:ptCount val="1"/>
                <c:pt idx="0">
                  <c:v>Hialeah</c:v>
                </c:pt>
              </c:strCache>
            </c:strRef>
          </c:tx>
          <c:spPr>
            <a:solidFill>
              <a:schemeClr val="accent6">
                <a:lumMod val="60000"/>
                <a:lumOff val="40000"/>
              </a:schemeClr>
            </a:solidFill>
            <a:ln>
              <a:solidFill>
                <a:schemeClr val="accent6">
                  <a:lumMod val="60000"/>
                  <a:lumOff val="40000"/>
                </a:schemeClr>
              </a:solidFill>
            </a:ln>
          </c:spPr>
          <c:invertIfNegative val="0"/>
          <c:cat>
            <c:strRef>
              <c:f>Sheet1!$A$2:$A$7</c:f>
              <c:strCache>
                <c:ptCount val="6"/>
                <c:pt idx="0">
                  <c:v>Less than $10,000</c:v>
                </c:pt>
                <c:pt idx="1">
                  <c:v>$10,000 to $15,000</c:v>
                </c:pt>
                <c:pt idx="2">
                  <c:v>$15,000 to $30,000</c:v>
                </c:pt>
                <c:pt idx="3">
                  <c:v>$30,000 to $50,000</c:v>
                </c:pt>
                <c:pt idx="4">
                  <c:v>$50,000 to $70,000</c:v>
                </c:pt>
                <c:pt idx="5">
                  <c:v>More than $70,000</c:v>
                </c:pt>
              </c:strCache>
            </c:strRef>
          </c:cat>
          <c:val>
            <c:numRef>
              <c:f>Sheet1!$G$2:$G$7</c:f>
              <c:numCache>
                <c:formatCode>0.0%</c:formatCode>
                <c:ptCount val="6"/>
                <c:pt idx="0">
                  <c:v>0.315</c:v>
                </c:pt>
                <c:pt idx="1">
                  <c:v>9.6000000000000002E-2</c:v>
                </c:pt>
                <c:pt idx="2">
                  <c:v>0.17799999999999999</c:v>
                </c:pt>
                <c:pt idx="3">
                  <c:v>0.315</c:v>
                </c:pt>
                <c:pt idx="4">
                  <c:v>2.7E-2</c:v>
                </c:pt>
                <c:pt idx="5">
                  <c:v>6.8000000000000005E-2</c:v>
                </c:pt>
              </c:numCache>
            </c:numRef>
          </c:val>
        </c:ser>
        <c:ser>
          <c:idx val="6"/>
          <c:order val="6"/>
          <c:tx>
            <c:strRef>
              <c:f>Sheet1!$H$1</c:f>
              <c:strCache>
                <c:ptCount val="1"/>
                <c:pt idx="0">
                  <c:v>Oral Medicine</c:v>
                </c:pt>
              </c:strCache>
            </c:strRef>
          </c:tx>
          <c:spPr>
            <a:solidFill>
              <a:schemeClr val="accent3">
                <a:lumMod val="50000"/>
              </a:schemeClr>
            </a:solidFill>
            <a:ln>
              <a:solidFill>
                <a:schemeClr val="accent3">
                  <a:lumMod val="50000"/>
                </a:schemeClr>
              </a:solidFill>
            </a:ln>
          </c:spPr>
          <c:invertIfNegative val="0"/>
          <c:cat>
            <c:strRef>
              <c:f>Sheet1!$A$2:$A$7</c:f>
              <c:strCache>
                <c:ptCount val="6"/>
                <c:pt idx="0">
                  <c:v>Less than $10,000</c:v>
                </c:pt>
                <c:pt idx="1">
                  <c:v>$10,000 to $15,000</c:v>
                </c:pt>
                <c:pt idx="2">
                  <c:v>$15,000 to $30,000</c:v>
                </c:pt>
                <c:pt idx="3">
                  <c:v>$30,000 to $50,000</c:v>
                </c:pt>
                <c:pt idx="4">
                  <c:v>$50,000 to $70,000</c:v>
                </c:pt>
                <c:pt idx="5">
                  <c:v>More than $70,000</c:v>
                </c:pt>
              </c:strCache>
            </c:strRef>
          </c:cat>
          <c:val>
            <c:numRef>
              <c:f>Sheet1!$H$2:$H$7</c:f>
              <c:numCache>
                <c:formatCode>0.0%</c:formatCode>
                <c:ptCount val="6"/>
                <c:pt idx="0">
                  <c:v>0</c:v>
                </c:pt>
                <c:pt idx="1">
                  <c:v>7.6999999999999999E-2</c:v>
                </c:pt>
                <c:pt idx="2">
                  <c:v>7.6999999999999999E-2</c:v>
                </c:pt>
                <c:pt idx="3">
                  <c:v>0.154</c:v>
                </c:pt>
                <c:pt idx="4">
                  <c:v>0.53800000000000003</c:v>
                </c:pt>
                <c:pt idx="5">
                  <c:v>0.154</c:v>
                </c:pt>
              </c:numCache>
            </c:numRef>
          </c:val>
        </c:ser>
        <c:ser>
          <c:idx val="7"/>
          <c:order val="7"/>
          <c:tx>
            <c:strRef>
              <c:f>Sheet1!$I$1</c:f>
              <c:strCache>
                <c:ptCount val="1"/>
                <c:pt idx="0">
                  <c:v>Orthodontics</c:v>
                </c:pt>
              </c:strCache>
            </c:strRef>
          </c:tx>
          <c:spPr>
            <a:solidFill>
              <a:srgbClr val="0070C0"/>
            </a:solidFill>
            <a:ln>
              <a:solidFill>
                <a:srgbClr val="0070C0"/>
              </a:solidFill>
            </a:ln>
          </c:spPr>
          <c:invertIfNegative val="0"/>
          <c:cat>
            <c:strRef>
              <c:f>Sheet1!$A$2:$A$7</c:f>
              <c:strCache>
                <c:ptCount val="6"/>
                <c:pt idx="0">
                  <c:v>Less than $10,000</c:v>
                </c:pt>
                <c:pt idx="1">
                  <c:v>$10,000 to $15,000</c:v>
                </c:pt>
                <c:pt idx="2">
                  <c:v>$15,000 to $30,000</c:v>
                </c:pt>
                <c:pt idx="3">
                  <c:v>$30,000 to $50,000</c:v>
                </c:pt>
                <c:pt idx="4">
                  <c:v>$50,000 to $70,000</c:v>
                </c:pt>
                <c:pt idx="5">
                  <c:v>More than $70,000</c:v>
                </c:pt>
              </c:strCache>
            </c:strRef>
          </c:cat>
          <c:val>
            <c:numRef>
              <c:f>Sheet1!$I$2:$I$7</c:f>
              <c:numCache>
                <c:formatCode>0.0%</c:formatCode>
                <c:ptCount val="6"/>
                <c:pt idx="0">
                  <c:v>0.23499999999999999</c:v>
                </c:pt>
                <c:pt idx="1">
                  <c:v>0.11799999999999999</c:v>
                </c:pt>
                <c:pt idx="2">
                  <c:v>0.13700000000000001</c:v>
                </c:pt>
                <c:pt idx="3">
                  <c:v>0.35299999999999998</c:v>
                </c:pt>
                <c:pt idx="4">
                  <c:v>7.8E-2</c:v>
                </c:pt>
                <c:pt idx="5">
                  <c:v>7.8E-2</c:v>
                </c:pt>
              </c:numCache>
            </c:numRef>
          </c:val>
        </c:ser>
        <c:ser>
          <c:idx val="8"/>
          <c:order val="8"/>
          <c:tx>
            <c:strRef>
              <c:f>Sheet1!$J$1</c:f>
              <c:strCache>
                <c:ptCount val="1"/>
                <c:pt idx="0">
                  <c:v>Oral Surgery</c:v>
                </c:pt>
              </c:strCache>
            </c:strRef>
          </c:tx>
          <c:invertIfNegative val="0"/>
          <c:cat>
            <c:strRef>
              <c:f>Sheet1!$A$2:$A$7</c:f>
              <c:strCache>
                <c:ptCount val="6"/>
                <c:pt idx="0">
                  <c:v>Less than $10,000</c:v>
                </c:pt>
                <c:pt idx="1">
                  <c:v>$10,000 to $15,000</c:v>
                </c:pt>
                <c:pt idx="2">
                  <c:v>$15,000 to $30,000</c:v>
                </c:pt>
                <c:pt idx="3">
                  <c:v>$30,000 to $50,000</c:v>
                </c:pt>
                <c:pt idx="4">
                  <c:v>$50,000 to $70,000</c:v>
                </c:pt>
                <c:pt idx="5">
                  <c:v>More than $70,000</c:v>
                </c:pt>
              </c:strCache>
            </c:strRef>
          </c:cat>
          <c:val>
            <c:numRef>
              <c:f>Sheet1!$J$2:$J$7</c:f>
              <c:numCache>
                <c:formatCode>0.0%</c:formatCode>
                <c:ptCount val="6"/>
                <c:pt idx="0">
                  <c:v>0.21099999999999999</c:v>
                </c:pt>
                <c:pt idx="1">
                  <c:v>0.16700000000000001</c:v>
                </c:pt>
                <c:pt idx="2">
                  <c:v>0.106</c:v>
                </c:pt>
                <c:pt idx="3">
                  <c:v>0.152</c:v>
                </c:pt>
                <c:pt idx="4">
                  <c:v>0.16700000000000001</c:v>
                </c:pt>
                <c:pt idx="5">
                  <c:v>0.19700000000000001</c:v>
                </c:pt>
              </c:numCache>
            </c:numRef>
          </c:val>
        </c:ser>
        <c:ser>
          <c:idx val="9"/>
          <c:order val="9"/>
          <c:tx>
            <c:strRef>
              <c:f>Sheet1!$K$1</c:f>
              <c:strCache>
                <c:ptCount val="1"/>
                <c:pt idx="0">
                  <c:v>Pediatrics</c:v>
                </c:pt>
              </c:strCache>
            </c:strRef>
          </c:tx>
          <c:invertIfNegative val="0"/>
          <c:cat>
            <c:strRef>
              <c:f>Sheet1!$A$2:$A$7</c:f>
              <c:strCache>
                <c:ptCount val="6"/>
                <c:pt idx="0">
                  <c:v>Less than $10,000</c:v>
                </c:pt>
                <c:pt idx="1">
                  <c:v>$10,000 to $15,000</c:v>
                </c:pt>
                <c:pt idx="2">
                  <c:v>$15,000 to $30,000</c:v>
                </c:pt>
                <c:pt idx="3">
                  <c:v>$30,000 to $50,000</c:v>
                </c:pt>
                <c:pt idx="4">
                  <c:v>$50,000 to $70,000</c:v>
                </c:pt>
                <c:pt idx="5">
                  <c:v>More than $70,000</c:v>
                </c:pt>
              </c:strCache>
            </c:strRef>
          </c:cat>
          <c:val>
            <c:numRef>
              <c:f>Sheet1!$K$2:$K$7</c:f>
              <c:numCache>
                <c:formatCode>0.0%</c:formatCode>
                <c:ptCount val="6"/>
                <c:pt idx="0">
                  <c:v>0.23499999999999999</c:v>
                </c:pt>
                <c:pt idx="1">
                  <c:v>5.8999999999999997E-2</c:v>
                </c:pt>
                <c:pt idx="2">
                  <c:v>0.35299999999999998</c:v>
                </c:pt>
                <c:pt idx="3">
                  <c:v>0.20599999999999999</c:v>
                </c:pt>
                <c:pt idx="4">
                  <c:v>8.7999999999999995E-2</c:v>
                </c:pt>
                <c:pt idx="5">
                  <c:v>5.8999999999999997E-2</c:v>
                </c:pt>
              </c:numCache>
            </c:numRef>
          </c:val>
        </c:ser>
        <c:ser>
          <c:idx val="10"/>
          <c:order val="10"/>
          <c:tx>
            <c:strRef>
              <c:f>Sheet1!$L$1</c:f>
              <c:strCache>
                <c:ptCount val="1"/>
                <c:pt idx="0">
                  <c:v>St. Pete</c:v>
                </c:pt>
              </c:strCache>
            </c:strRef>
          </c:tx>
          <c:invertIfNegative val="0"/>
          <c:cat>
            <c:strRef>
              <c:f>Sheet1!$A$2:$A$7</c:f>
              <c:strCache>
                <c:ptCount val="6"/>
                <c:pt idx="0">
                  <c:v>Less than $10,000</c:v>
                </c:pt>
                <c:pt idx="1">
                  <c:v>$10,000 to $15,000</c:v>
                </c:pt>
                <c:pt idx="2">
                  <c:v>$15,000 to $30,000</c:v>
                </c:pt>
                <c:pt idx="3">
                  <c:v>$30,000 to $50,000</c:v>
                </c:pt>
                <c:pt idx="4">
                  <c:v>$50,000 to $70,000</c:v>
                </c:pt>
                <c:pt idx="5">
                  <c:v>More than $70,000</c:v>
                </c:pt>
              </c:strCache>
            </c:strRef>
          </c:cat>
          <c:val>
            <c:numRef>
              <c:f>Sheet1!$L$2:$L$7</c:f>
              <c:numCache>
                <c:formatCode>0.0%</c:formatCode>
                <c:ptCount val="6"/>
                <c:pt idx="0">
                  <c:v>9.5000000000000001E-2</c:v>
                </c:pt>
                <c:pt idx="1">
                  <c:v>9.5000000000000001E-2</c:v>
                </c:pt>
                <c:pt idx="2">
                  <c:v>0.28599999999999998</c:v>
                </c:pt>
                <c:pt idx="3">
                  <c:v>0.28599999999999998</c:v>
                </c:pt>
                <c:pt idx="4">
                  <c:v>0.11899999999999999</c:v>
                </c:pt>
                <c:pt idx="5">
                  <c:v>0.11899999999999999</c:v>
                </c:pt>
              </c:numCache>
            </c:numRef>
          </c:val>
        </c:ser>
        <c:dLbls>
          <c:showLegendKey val="0"/>
          <c:showVal val="0"/>
          <c:showCatName val="0"/>
          <c:showSerName val="0"/>
          <c:showPercent val="0"/>
          <c:showBubbleSize val="0"/>
        </c:dLbls>
        <c:gapWidth val="150"/>
        <c:axId val="90936448"/>
        <c:axId val="90937984"/>
      </c:barChart>
      <c:catAx>
        <c:axId val="90936448"/>
        <c:scaling>
          <c:orientation val="minMax"/>
        </c:scaling>
        <c:delete val="0"/>
        <c:axPos val="b"/>
        <c:majorTickMark val="out"/>
        <c:minorTickMark val="none"/>
        <c:tickLblPos val="nextTo"/>
        <c:crossAx val="90937984"/>
        <c:crosses val="autoZero"/>
        <c:auto val="1"/>
        <c:lblAlgn val="ctr"/>
        <c:lblOffset val="100"/>
        <c:noMultiLvlLbl val="0"/>
      </c:catAx>
      <c:valAx>
        <c:axId val="90937984"/>
        <c:scaling>
          <c:orientation val="minMax"/>
        </c:scaling>
        <c:delete val="0"/>
        <c:axPos val="l"/>
        <c:majorGridlines/>
        <c:numFmt formatCode="0.0%" sourceLinked="1"/>
        <c:majorTickMark val="out"/>
        <c:minorTickMark val="none"/>
        <c:tickLblPos val="nextTo"/>
        <c:crossAx val="90936448"/>
        <c:crosses val="autoZero"/>
        <c:crossBetween val="between"/>
      </c:valAx>
    </c:plotArea>
    <c:legend>
      <c:legendPos val="r"/>
      <c:layout>
        <c:manualLayout>
          <c:xMode val="edge"/>
          <c:yMode val="edge"/>
          <c:x val="0.8377276467443866"/>
          <c:y val="0.11896070199463062"/>
          <c:w val="0.1622723532556142"/>
          <c:h val="0.60690174597740498"/>
        </c:manualLayout>
      </c:layout>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How Patients Learned about Services</a:t>
            </a:r>
          </a:p>
        </c:rich>
      </c:tx>
      <c:layout/>
      <c:overlay val="0"/>
    </c:title>
    <c:autoTitleDeleted val="0"/>
    <c:plotArea>
      <c:layout/>
      <c:barChart>
        <c:barDir val="col"/>
        <c:grouping val="clustered"/>
        <c:varyColors val="0"/>
        <c:ser>
          <c:idx val="0"/>
          <c:order val="0"/>
          <c:tx>
            <c:strRef>
              <c:f>Sheet1!$B$1</c:f>
              <c:strCache>
                <c:ptCount val="1"/>
                <c:pt idx="0">
                  <c:v>Student Clinics</c:v>
                </c:pt>
              </c:strCache>
            </c:strRef>
          </c:tx>
          <c:invertIfNegative val="0"/>
          <c:cat>
            <c:strRef>
              <c:f>Sheet1!$A$2:$A$6</c:f>
              <c:strCache>
                <c:ptCount val="5"/>
                <c:pt idx="0">
                  <c:v>Friend or relative</c:v>
                </c:pt>
                <c:pt idx="1">
                  <c:v>Emergency Clinic/SOS</c:v>
                </c:pt>
                <c:pt idx="2">
                  <c:v>Referred by student dentist</c:v>
                </c:pt>
                <c:pt idx="3">
                  <c:v>UF CoD Website</c:v>
                </c:pt>
                <c:pt idx="4">
                  <c:v>Other</c:v>
                </c:pt>
              </c:strCache>
            </c:strRef>
          </c:cat>
          <c:val>
            <c:numRef>
              <c:f>Sheet1!$B$2:$B$6</c:f>
              <c:numCache>
                <c:formatCode>0.0%</c:formatCode>
                <c:ptCount val="5"/>
                <c:pt idx="0">
                  <c:v>0.59</c:v>
                </c:pt>
                <c:pt idx="1">
                  <c:v>0.03</c:v>
                </c:pt>
                <c:pt idx="2">
                  <c:v>5.5E-2</c:v>
                </c:pt>
                <c:pt idx="3">
                  <c:v>0.112</c:v>
                </c:pt>
                <c:pt idx="4">
                  <c:v>0.32</c:v>
                </c:pt>
              </c:numCache>
            </c:numRef>
          </c:val>
        </c:ser>
        <c:ser>
          <c:idx val="1"/>
          <c:order val="1"/>
          <c:tx>
            <c:strRef>
              <c:f>Sheet1!$C$1</c:f>
              <c:strCache>
                <c:ptCount val="1"/>
                <c:pt idx="0">
                  <c:v>Faculty Practice</c:v>
                </c:pt>
              </c:strCache>
            </c:strRef>
          </c:tx>
          <c:spPr>
            <a:solidFill>
              <a:schemeClr val="accent6"/>
            </a:solidFill>
            <a:ln>
              <a:solidFill>
                <a:schemeClr val="accent6"/>
              </a:solidFill>
            </a:ln>
          </c:spPr>
          <c:invertIfNegative val="0"/>
          <c:cat>
            <c:strRef>
              <c:f>Sheet1!$A$2:$A$6</c:f>
              <c:strCache>
                <c:ptCount val="5"/>
                <c:pt idx="0">
                  <c:v>Friend or relative</c:v>
                </c:pt>
                <c:pt idx="1">
                  <c:v>Emergency Clinic/SOS</c:v>
                </c:pt>
                <c:pt idx="2">
                  <c:v>Referred by student dentist</c:v>
                </c:pt>
                <c:pt idx="3">
                  <c:v>UF CoD Website</c:v>
                </c:pt>
                <c:pt idx="4">
                  <c:v>Other</c:v>
                </c:pt>
              </c:strCache>
            </c:strRef>
          </c:cat>
          <c:val>
            <c:numRef>
              <c:f>Sheet1!$C$2:$C$6</c:f>
              <c:numCache>
                <c:formatCode>0.0%</c:formatCode>
                <c:ptCount val="5"/>
                <c:pt idx="0">
                  <c:v>0.30399999999999999</c:v>
                </c:pt>
                <c:pt idx="1">
                  <c:v>0</c:v>
                </c:pt>
                <c:pt idx="2">
                  <c:v>4.2999999999999997E-2</c:v>
                </c:pt>
                <c:pt idx="3">
                  <c:v>8.6999999999999994E-2</c:v>
                </c:pt>
                <c:pt idx="4">
                  <c:v>0.65200000000000002</c:v>
                </c:pt>
              </c:numCache>
            </c:numRef>
          </c:val>
        </c:ser>
        <c:ser>
          <c:idx val="2"/>
          <c:order val="2"/>
          <c:tx>
            <c:strRef>
              <c:f>Sheet1!$D$1</c:f>
              <c:strCache>
                <c:ptCount val="1"/>
                <c:pt idx="0">
                  <c:v>Graduate Endodontics</c:v>
                </c:pt>
              </c:strCache>
            </c:strRef>
          </c:tx>
          <c:invertIfNegative val="0"/>
          <c:cat>
            <c:strRef>
              <c:f>Sheet1!$A$2:$A$6</c:f>
              <c:strCache>
                <c:ptCount val="5"/>
                <c:pt idx="0">
                  <c:v>Friend or relative</c:v>
                </c:pt>
                <c:pt idx="1">
                  <c:v>Emergency Clinic/SOS</c:v>
                </c:pt>
                <c:pt idx="2">
                  <c:v>Referred by student dentist</c:v>
                </c:pt>
                <c:pt idx="3">
                  <c:v>UF CoD Website</c:v>
                </c:pt>
                <c:pt idx="4">
                  <c:v>Other</c:v>
                </c:pt>
              </c:strCache>
            </c:strRef>
          </c:cat>
          <c:val>
            <c:numRef>
              <c:f>Sheet1!$D$2:$D$6</c:f>
              <c:numCache>
                <c:formatCode>0.0%</c:formatCode>
                <c:ptCount val="5"/>
                <c:pt idx="0">
                  <c:v>0.377</c:v>
                </c:pt>
                <c:pt idx="1">
                  <c:v>5.7000000000000002E-2</c:v>
                </c:pt>
                <c:pt idx="2">
                  <c:v>7.4999999999999997E-2</c:v>
                </c:pt>
                <c:pt idx="3">
                  <c:v>5.7000000000000002E-2</c:v>
                </c:pt>
                <c:pt idx="4">
                  <c:v>0.49099999999999999</c:v>
                </c:pt>
              </c:numCache>
            </c:numRef>
          </c:val>
        </c:ser>
        <c:ser>
          <c:idx val="3"/>
          <c:order val="3"/>
          <c:tx>
            <c:strRef>
              <c:f>Sheet1!$E$1</c:f>
              <c:strCache>
                <c:ptCount val="1"/>
                <c:pt idx="0">
                  <c:v>Grad Periodontics</c:v>
                </c:pt>
              </c:strCache>
            </c:strRef>
          </c:tx>
          <c:spPr>
            <a:solidFill>
              <a:schemeClr val="tx2"/>
            </a:solidFill>
            <a:ln>
              <a:solidFill>
                <a:schemeClr val="tx2"/>
              </a:solidFill>
            </a:ln>
          </c:spPr>
          <c:invertIfNegative val="0"/>
          <c:cat>
            <c:strRef>
              <c:f>Sheet1!$A$2:$A$6</c:f>
              <c:strCache>
                <c:ptCount val="5"/>
                <c:pt idx="0">
                  <c:v>Friend or relative</c:v>
                </c:pt>
                <c:pt idx="1">
                  <c:v>Emergency Clinic/SOS</c:v>
                </c:pt>
                <c:pt idx="2">
                  <c:v>Referred by student dentist</c:v>
                </c:pt>
                <c:pt idx="3">
                  <c:v>UF CoD Website</c:v>
                </c:pt>
                <c:pt idx="4">
                  <c:v>Other</c:v>
                </c:pt>
              </c:strCache>
            </c:strRef>
          </c:cat>
          <c:val>
            <c:numRef>
              <c:f>Sheet1!$E$2:$E$6</c:f>
              <c:numCache>
                <c:formatCode>0.0%</c:formatCode>
                <c:ptCount val="5"/>
                <c:pt idx="0">
                  <c:v>0.51700000000000002</c:v>
                </c:pt>
                <c:pt idx="1">
                  <c:v>6.9000000000000006E-2</c:v>
                </c:pt>
                <c:pt idx="2">
                  <c:v>0.10299999999999999</c:v>
                </c:pt>
                <c:pt idx="3">
                  <c:v>3.4000000000000002E-2</c:v>
                </c:pt>
                <c:pt idx="4">
                  <c:v>0.46700000000000003</c:v>
                </c:pt>
              </c:numCache>
            </c:numRef>
          </c:val>
        </c:ser>
        <c:ser>
          <c:idx val="4"/>
          <c:order val="4"/>
          <c:tx>
            <c:strRef>
              <c:f>Sheet1!$F$1</c:f>
              <c:strCache>
                <c:ptCount val="1"/>
                <c:pt idx="0">
                  <c:v>Grad Prosthodontics</c:v>
                </c:pt>
              </c:strCache>
            </c:strRef>
          </c:tx>
          <c:spPr>
            <a:solidFill>
              <a:schemeClr val="accent1">
                <a:lumMod val="20000"/>
                <a:lumOff val="80000"/>
              </a:schemeClr>
            </a:solidFill>
            <a:ln>
              <a:solidFill>
                <a:schemeClr val="accent1">
                  <a:lumMod val="20000"/>
                  <a:lumOff val="80000"/>
                </a:schemeClr>
              </a:solidFill>
            </a:ln>
          </c:spPr>
          <c:invertIfNegative val="0"/>
          <c:cat>
            <c:strRef>
              <c:f>Sheet1!$A$2:$A$6</c:f>
              <c:strCache>
                <c:ptCount val="5"/>
                <c:pt idx="0">
                  <c:v>Friend or relative</c:v>
                </c:pt>
                <c:pt idx="1">
                  <c:v>Emergency Clinic/SOS</c:v>
                </c:pt>
                <c:pt idx="2">
                  <c:v>Referred by student dentist</c:v>
                </c:pt>
                <c:pt idx="3">
                  <c:v>UF CoD Website</c:v>
                </c:pt>
                <c:pt idx="4">
                  <c:v>Other</c:v>
                </c:pt>
              </c:strCache>
            </c:strRef>
          </c:cat>
          <c:val>
            <c:numRef>
              <c:f>Sheet1!$F$2:$F$6</c:f>
              <c:numCache>
                <c:formatCode>0.0%</c:formatCode>
                <c:ptCount val="5"/>
                <c:pt idx="0">
                  <c:v>0.44700000000000001</c:v>
                </c:pt>
                <c:pt idx="1">
                  <c:v>7.9000000000000001E-2</c:v>
                </c:pt>
                <c:pt idx="2">
                  <c:v>0.158</c:v>
                </c:pt>
                <c:pt idx="3">
                  <c:v>5.2999999999999999E-2</c:v>
                </c:pt>
                <c:pt idx="4">
                  <c:v>0.41</c:v>
                </c:pt>
              </c:numCache>
            </c:numRef>
          </c:val>
        </c:ser>
        <c:ser>
          <c:idx val="5"/>
          <c:order val="5"/>
          <c:tx>
            <c:strRef>
              <c:f>Sheet1!$G$1</c:f>
              <c:strCache>
                <c:ptCount val="1"/>
                <c:pt idx="0">
                  <c:v>Hialeah</c:v>
                </c:pt>
              </c:strCache>
            </c:strRef>
          </c:tx>
          <c:spPr>
            <a:solidFill>
              <a:schemeClr val="accent6">
                <a:lumMod val="60000"/>
                <a:lumOff val="40000"/>
              </a:schemeClr>
            </a:solidFill>
            <a:ln>
              <a:solidFill>
                <a:schemeClr val="accent6">
                  <a:lumMod val="60000"/>
                  <a:lumOff val="40000"/>
                </a:schemeClr>
              </a:solidFill>
            </a:ln>
          </c:spPr>
          <c:invertIfNegative val="0"/>
          <c:cat>
            <c:strRef>
              <c:f>Sheet1!$A$2:$A$6</c:f>
              <c:strCache>
                <c:ptCount val="5"/>
                <c:pt idx="0">
                  <c:v>Friend or relative</c:v>
                </c:pt>
                <c:pt idx="1">
                  <c:v>Emergency Clinic/SOS</c:v>
                </c:pt>
                <c:pt idx="2">
                  <c:v>Referred by student dentist</c:v>
                </c:pt>
                <c:pt idx="3">
                  <c:v>UF CoD Website</c:v>
                </c:pt>
                <c:pt idx="4">
                  <c:v>Other</c:v>
                </c:pt>
              </c:strCache>
            </c:strRef>
          </c:cat>
          <c:val>
            <c:numRef>
              <c:f>Sheet1!$G$2:$G$6</c:f>
              <c:numCache>
                <c:formatCode>0.0%</c:formatCode>
                <c:ptCount val="5"/>
                <c:pt idx="0">
                  <c:v>0.44700000000000001</c:v>
                </c:pt>
                <c:pt idx="1">
                  <c:v>1.2999999999999999E-2</c:v>
                </c:pt>
                <c:pt idx="2">
                  <c:v>3.9E-2</c:v>
                </c:pt>
                <c:pt idx="3">
                  <c:v>7.9000000000000001E-2</c:v>
                </c:pt>
                <c:pt idx="4">
                  <c:v>0.46200000000000002</c:v>
                </c:pt>
              </c:numCache>
            </c:numRef>
          </c:val>
        </c:ser>
        <c:ser>
          <c:idx val="6"/>
          <c:order val="6"/>
          <c:tx>
            <c:strRef>
              <c:f>Sheet1!$H$1</c:f>
              <c:strCache>
                <c:ptCount val="1"/>
                <c:pt idx="0">
                  <c:v>Oral Medicine</c:v>
                </c:pt>
              </c:strCache>
            </c:strRef>
          </c:tx>
          <c:spPr>
            <a:solidFill>
              <a:schemeClr val="accent3">
                <a:lumMod val="50000"/>
              </a:schemeClr>
            </a:solidFill>
            <a:ln>
              <a:solidFill>
                <a:schemeClr val="accent3">
                  <a:lumMod val="50000"/>
                </a:schemeClr>
              </a:solidFill>
            </a:ln>
          </c:spPr>
          <c:invertIfNegative val="0"/>
          <c:cat>
            <c:strRef>
              <c:f>Sheet1!$A$2:$A$6</c:f>
              <c:strCache>
                <c:ptCount val="5"/>
                <c:pt idx="0">
                  <c:v>Friend or relative</c:v>
                </c:pt>
                <c:pt idx="1">
                  <c:v>Emergency Clinic/SOS</c:v>
                </c:pt>
                <c:pt idx="2">
                  <c:v>Referred by student dentist</c:v>
                </c:pt>
                <c:pt idx="3">
                  <c:v>UF CoD Website</c:v>
                </c:pt>
                <c:pt idx="4">
                  <c:v>Other</c:v>
                </c:pt>
              </c:strCache>
            </c:strRef>
          </c:cat>
          <c:val>
            <c:numRef>
              <c:f>Sheet1!$H$2:$H$6</c:f>
              <c:numCache>
                <c:formatCode>0.0%</c:formatCode>
                <c:ptCount val="5"/>
                <c:pt idx="0">
                  <c:v>0</c:v>
                </c:pt>
                <c:pt idx="1">
                  <c:v>0</c:v>
                </c:pt>
                <c:pt idx="2">
                  <c:v>0</c:v>
                </c:pt>
                <c:pt idx="3">
                  <c:v>0</c:v>
                </c:pt>
                <c:pt idx="4">
                  <c:v>1</c:v>
                </c:pt>
              </c:numCache>
            </c:numRef>
          </c:val>
        </c:ser>
        <c:ser>
          <c:idx val="7"/>
          <c:order val="7"/>
          <c:tx>
            <c:strRef>
              <c:f>Sheet1!$I$1</c:f>
              <c:strCache>
                <c:ptCount val="1"/>
                <c:pt idx="0">
                  <c:v>Orthodontics</c:v>
                </c:pt>
              </c:strCache>
            </c:strRef>
          </c:tx>
          <c:spPr>
            <a:solidFill>
              <a:srgbClr val="0070C0"/>
            </a:solidFill>
            <a:ln>
              <a:solidFill>
                <a:srgbClr val="0070C0"/>
              </a:solidFill>
            </a:ln>
          </c:spPr>
          <c:invertIfNegative val="0"/>
          <c:cat>
            <c:strRef>
              <c:f>Sheet1!$A$2:$A$6</c:f>
              <c:strCache>
                <c:ptCount val="5"/>
                <c:pt idx="0">
                  <c:v>Friend or relative</c:v>
                </c:pt>
                <c:pt idx="1">
                  <c:v>Emergency Clinic/SOS</c:v>
                </c:pt>
                <c:pt idx="2">
                  <c:v>Referred by student dentist</c:v>
                </c:pt>
                <c:pt idx="3">
                  <c:v>UF CoD Website</c:v>
                </c:pt>
                <c:pt idx="4">
                  <c:v>Other</c:v>
                </c:pt>
              </c:strCache>
            </c:strRef>
          </c:cat>
          <c:val>
            <c:numRef>
              <c:f>Sheet1!$I$2:$I$6</c:f>
              <c:numCache>
                <c:formatCode>0.0%</c:formatCode>
                <c:ptCount val="5"/>
                <c:pt idx="0">
                  <c:v>0.2</c:v>
                </c:pt>
                <c:pt idx="1">
                  <c:v>5.5E-2</c:v>
                </c:pt>
                <c:pt idx="2">
                  <c:v>7.2999999999999995E-2</c:v>
                </c:pt>
                <c:pt idx="3">
                  <c:v>7.2999999999999995E-2</c:v>
                </c:pt>
                <c:pt idx="4">
                  <c:v>0.65500000000000003</c:v>
                </c:pt>
              </c:numCache>
            </c:numRef>
          </c:val>
        </c:ser>
        <c:ser>
          <c:idx val="8"/>
          <c:order val="8"/>
          <c:tx>
            <c:strRef>
              <c:f>Sheet1!$J$1</c:f>
              <c:strCache>
                <c:ptCount val="1"/>
                <c:pt idx="0">
                  <c:v>Oral Surgery</c:v>
                </c:pt>
              </c:strCache>
            </c:strRef>
          </c:tx>
          <c:invertIfNegative val="0"/>
          <c:cat>
            <c:strRef>
              <c:f>Sheet1!$A$2:$A$6</c:f>
              <c:strCache>
                <c:ptCount val="5"/>
                <c:pt idx="0">
                  <c:v>Friend or relative</c:v>
                </c:pt>
                <c:pt idx="1">
                  <c:v>Emergency Clinic/SOS</c:v>
                </c:pt>
                <c:pt idx="2">
                  <c:v>Referred by student dentist</c:v>
                </c:pt>
                <c:pt idx="3">
                  <c:v>UF CoD Website</c:v>
                </c:pt>
                <c:pt idx="4">
                  <c:v>Other</c:v>
                </c:pt>
              </c:strCache>
            </c:strRef>
          </c:cat>
          <c:val>
            <c:numRef>
              <c:f>Sheet1!$J$2:$J$6</c:f>
              <c:numCache>
                <c:formatCode>0.0%</c:formatCode>
                <c:ptCount val="5"/>
                <c:pt idx="0">
                  <c:v>0.373</c:v>
                </c:pt>
                <c:pt idx="1">
                  <c:v>0.06</c:v>
                </c:pt>
                <c:pt idx="2">
                  <c:v>0.06</c:v>
                </c:pt>
                <c:pt idx="3">
                  <c:v>0.09</c:v>
                </c:pt>
                <c:pt idx="4">
                  <c:v>0.441</c:v>
                </c:pt>
              </c:numCache>
            </c:numRef>
          </c:val>
        </c:ser>
        <c:ser>
          <c:idx val="9"/>
          <c:order val="9"/>
          <c:tx>
            <c:strRef>
              <c:f>Sheet1!$K$1</c:f>
              <c:strCache>
                <c:ptCount val="1"/>
                <c:pt idx="0">
                  <c:v>Pediatrics</c:v>
                </c:pt>
              </c:strCache>
            </c:strRef>
          </c:tx>
          <c:invertIfNegative val="0"/>
          <c:cat>
            <c:strRef>
              <c:f>Sheet1!$A$2:$A$6</c:f>
              <c:strCache>
                <c:ptCount val="5"/>
                <c:pt idx="0">
                  <c:v>Friend or relative</c:v>
                </c:pt>
                <c:pt idx="1">
                  <c:v>Emergency Clinic/SOS</c:v>
                </c:pt>
                <c:pt idx="2">
                  <c:v>Referred by student dentist</c:v>
                </c:pt>
                <c:pt idx="3">
                  <c:v>UF CoD Website</c:v>
                </c:pt>
                <c:pt idx="4">
                  <c:v>Other</c:v>
                </c:pt>
              </c:strCache>
            </c:strRef>
          </c:cat>
          <c:val>
            <c:numRef>
              <c:f>Sheet1!$K$2:$K$6</c:f>
              <c:numCache>
                <c:formatCode>0.0%</c:formatCode>
                <c:ptCount val="5"/>
                <c:pt idx="0">
                  <c:v>0.4</c:v>
                </c:pt>
                <c:pt idx="1">
                  <c:v>2.9000000000000001E-2</c:v>
                </c:pt>
                <c:pt idx="2">
                  <c:v>0</c:v>
                </c:pt>
                <c:pt idx="3">
                  <c:v>0</c:v>
                </c:pt>
                <c:pt idx="4">
                  <c:v>0.6</c:v>
                </c:pt>
              </c:numCache>
            </c:numRef>
          </c:val>
        </c:ser>
        <c:ser>
          <c:idx val="10"/>
          <c:order val="10"/>
          <c:tx>
            <c:strRef>
              <c:f>Sheet1!$L$1</c:f>
              <c:strCache>
                <c:ptCount val="1"/>
                <c:pt idx="0">
                  <c:v>St. Pete</c:v>
                </c:pt>
              </c:strCache>
            </c:strRef>
          </c:tx>
          <c:invertIfNegative val="0"/>
          <c:cat>
            <c:strRef>
              <c:f>Sheet1!$A$2:$A$6</c:f>
              <c:strCache>
                <c:ptCount val="5"/>
                <c:pt idx="0">
                  <c:v>Friend or relative</c:v>
                </c:pt>
                <c:pt idx="1">
                  <c:v>Emergency Clinic/SOS</c:v>
                </c:pt>
                <c:pt idx="2">
                  <c:v>Referred by student dentist</c:v>
                </c:pt>
                <c:pt idx="3">
                  <c:v>UF CoD Website</c:v>
                </c:pt>
                <c:pt idx="4">
                  <c:v>Other</c:v>
                </c:pt>
              </c:strCache>
            </c:strRef>
          </c:cat>
          <c:val>
            <c:numRef>
              <c:f>Sheet1!$L$2:$L$6</c:f>
              <c:numCache>
                <c:formatCode>0.0%</c:formatCode>
                <c:ptCount val="5"/>
                <c:pt idx="0">
                  <c:v>0.51</c:v>
                </c:pt>
                <c:pt idx="1">
                  <c:v>0.02</c:v>
                </c:pt>
                <c:pt idx="2">
                  <c:v>0.02</c:v>
                </c:pt>
                <c:pt idx="3">
                  <c:v>0.14299999999999999</c:v>
                </c:pt>
                <c:pt idx="4">
                  <c:v>0.40799999999999997</c:v>
                </c:pt>
              </c:numCache>
            </c:numRef>
          </c:val>
        </c:ser>
        <c:dLbls>
          <c:showLegendKey val="0"/>
          <c:showVal val="0"/>
          <c:showCatName val="0"/>
          <c:showSerName val="0"/>
          <c:showPercent val="0"/>
          <c:showBubbleSize val="0"/>
        </c:dLbls>
        <c:gapWidth val="150"/>
        <c:axId val="91236992"/>
        <c:axId val="91423104"/>
      </c:barChart>
      <c:catAx>
        <c:axId val="91236992"/>
        <c:scaling>
          <c:orientation val="minMax"/>
        </c:scaling>
        <c:delete val="0"/>
        <c:axPos val="b"/>
        <c:majorTickMark val="out"/>
        <c:minorTickMark val="none"/>
        <c:tickLblPos val="nextTo"/>
        <c:crossAx val="91423104"/>
        <c:crosses val="autoZero"/>
        <c:auto val="1"/>
        <c:lblAlgn val="ctr"/>
        <c:lblOffset val="100"/>
        <c:noMultiLvlLbl val="0"/>
      </c:catAx>
      <c:valAx>
        <c:axId val="91423104"/>
        <c:scaling>
          <c:orientation val="minMax"/>
        </c:scaling>
        <c:delete val="0"/>
        <c:axPos val="l"/>
        <c:majorGridlines/>
        <c:numFmt formatCode="0.0%" sourceLinked="1"/>
        <c:majorTickMark val="out"/>
        <c:minorTickMark val="none"/>
        <c:tickLblPos val="nextTo"/>
        <c:crossAx val="91236992"/>
        <c:crosses val="autoZero"/>
        <c:crossBetween val="between"/>
      </c:valAx>
    </c:plotArea>
    <c:legend>
      <c:legendPos val="r"/>
      <c:layout>
        <c:manualLayout>
          <c:xMode val="edge"/>
          <c:yMode val="edge"/>
          <c:x val="0.84153515447440574"/>
          <c:y val="0.13054134656525618"/>
          <c:w val="0.15846484552559423"/>
          <c:h val="0.6452945571584574"/>
        </c:manualLayout>
      </c:layout>
      <c:overlay val="0"/>
    </c:legend>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136B0-12AE-43C8-B1DE-8E25ECF98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34</Pages>
  <Words>2670</Words>
  <Characters>15222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UF College of Dentistry Patient Satisfaction Survey</vt:lpstr>
    </vt:vector>
  </TitlesOfParts>
  <Company/>
  <LinksUpToDate>false</LinksUpToDate>
  <CharactersWithSpaces>17857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 College of Dentistry Patient Satisfaction Survey</dc:title>
  <dc:subject>Results by Clinic: 2014</dc:subject>
  <dc:creator>Tracy</dc:creator>
  <cp:keywords/>
  <dc:description/>
  <cp:lastModifiedBy>Shaddox,Luciana</cp:lastModifiedBy>
  <cp:revision>15</cp:revision>
  <cp:lastPrinted>2015-01-21T19:37:00Z</cp:lastPrinted>
  <dcterms:created xsi:type="dcterms:W3CDTF">2015-01-16T16:14:00Z</dcterms:created>
  <dcterms:modified xsi:type="dcterms:W3CDTF">2015-02-04T20:19:00Z</dcterms:modified>
</cp:coreProperties>
</file>